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C67" w:rsidRPr="00E7316E" w:rsidRDefault="00D74C67" w:rsidP="00D74C67">
      <w:pPr>
        <w:spacing w:after="240" w:line="240" w:lineRule="auto"/>
        <w:jc w:val="center"/>
        <w:rPr>
          <w:rFonts w:ascii="Century Gothic" w:eastAsia="Times New Roman" w:hAnsi="Century Gothic" w:cs="Times New Roman"/>
          <w:b/>
          <w:smallCaps/>
          <w:sz w:val="36"/>
          <w:szCs w:val="36"/>
          <w:lang w:eastAsia="pl-PL"/>
        </w:rPr>
      </w:pPr>
      <w:r w:rsidRPr="00E7316E">
        <w:rPr>
          <w:rFonts w:ascii="Century Gothic" w:eastAsia="Times New Roman" w:hAnsi="Century Gothic" w:cs="Times New Roman"/>
          <w:b/>
          <w:smallCaps/>
          <w:sz w:val="36"/>
          <w:szCs w:val="36"/>
          <w:lang w:eastAsia="pl-PL"/>
        </w:rPr>
        <w:t>Analiza satysfak</w:t>
      </w:r>
      <w:r w:rsidR="00E7316E">
        <w:rPr>
          <w:rFonts w:ascii="Century Gothic" w:eastAsia="Times New Roman" w:hAnsi="Century Gothic" w:cs="Times New Roman"/>
          <w:b/>
          <w:smallCaps/>
          <w:sz w:val="36"/>
          <w:szCs w:val="36"/>
          <w:lang w:eastAsia="pl-PL"/>
        </w:rPr>
        <w:t xml:space="preserve">cji pacjenta z wykonanej usługi </w:t>
      </w:r>
      <w:r w:rsidRPr="00E7316E">
        <w:rPr>
          <w:rFonts w:ascii="Century Gothic" w:eastAsia="Times New Roman" w:hAnsi="Century Gothic" w:cs="Times New Roman"/>
          <w:b/>
          <w:smallCaps/>
          <w:sz w:val="36"/>
          <w:szCs w:val="36"/>
          <w:lang w:eastAsia="pl-PL"/>
        </w:rPr>
        <w:t>medycznej - PASAT IKP 2024</w:t>
      </w:r>
    </w:p>
    <w:p w:rsidR="00D74C67" w:rsidRPr="00E7316E" w:rsidRDefault="00D74C67" w:rsidP="00156C7C">
      <w:pPr>
        <w:spacing w:after="120"/>
        <w:jc w:val="both"/>
        <w:rPr>
          <w:rFonts w:ascii="Century Gothic" w:eastAsia="Times New Roman" w:hAnsi="Century Gothic" w:cs="Times New Roman"/>
          <w:lang w:eastAsia="pl-PL"/>
        </w:rPr>
      </w:pPr>
      <w:r w:rsidRPr="00E7316E">
        <w:rPr>
          <w:rFonts w:ascii="Century Gothic" w:eastAsia="Times New Roman" w:hAnsi="Century Gothic" w:cs="Times New Roman"/>
          <w:lang w:eastAsia="pl-PL"/>
        </w:rPr>
        <w:t>Szpital Uniwersytecki nr 2 im. dr. Jana Biziela w Bydgoszczy współpracuje</w:t>
      </w:r>
      <w:r w:rsidR="00E7316E" w:rsidRPr="00E7316E">
        <w:rPr>
          <w:rFonts w:ascii="Century Gothic" w:eastAsia="Times New Roman" w:hAnsi="Century Gothic" w:cs="Times New Roman"/>
          <w:lang w:eastAsia="pl-PL"/>
        </w:rPr>
        <w:br/>
      </w:r>
      <w:r w:rsidRPr="00E7316E">
        <w:rPr>
          <w:rFonts w:ascii="Century Gothic" w:eastAsia="Times New Roman" w:hAnsi="Century Gothic" w:cs="Times New Roman"/>
          <w:lang w:eastAsia="pl-PL"/>
        </w:rPr>
        <w:t>z Centr</w:t>
      </w:r>
      <w:r w:rsidR="00E7316E" w:rsidRPr="00E7316E">
        <w:rPr>
          <w:rFonts w:ascii="Century Gothic" w:eastAsia="Times New Roman" w:hAnsi="Century Gothic" w:cs="Times New Roman"/>
          <w:lang w:eastAsia="pl-PL"/>
        </w:rPr>
        <w:t xml:space="preserve">um Monitorowania Jakością (CMJ) </w:t>
      </w:r>
      <w:r w:rsidRPr="00E7316E">
        <w:rPr>
          <w:rFonts w:ascii="Century Gothic" w:eastAsia="Times New Roman" w:hAnsi="Century Gothic" w:cs="Times New Roman"/>
          <w:lang w:eastAsia="pl-PL"/>
        </w:rPr>
        <w:t>w Krakowie w zakresie przeprowadzenia badań satysfakcji pacjenta w Klinikach/Oddziałach szpitalnych - PASAT IKP.</w:t>
      </w:r>
    </w:p>
    <w:p w:rsidR="00D74C67" w:rsidRPr="00E7316E" w:rsidRDefault="00D74C67" w:rsidP="00156C7C">
      <w:pPr>
        <w:spacing w:after="0"/>
        <w:jc w:val="both"/>
        <w:rPr>
          <w:rFonts w:ascii="Century Gothic" w:eastAsia="Times New Roman" w:hAnsi="Century Gothic" w:cs="Times New Roman"/>
          <w:lang w:eastAsia="pl-PL"/>
        </w:rPr>
      </w:pPr>
      <w:r w:rsidRPr="00E7316E">
        <w:rPr>
          <w:rFonts w:ascii="Century Gothic" w:eastAsia="Times New Roman" w:hAnsi="Century Gothic" w:cs="Times New Roman"/>
          <w:lang w:eastAsia="pl-PL"/>
        </w:rPr>
        <w:t>Niniejsza analiza opiera się na danych ilościowych z raportu ogólnego dla Szpitala Uniwersyteckiego nr 2 w roku 2024. Zestawienie koncentruje się na wynikach dla poszczególnych pytań ankiety PASAT IKP, ocenianych w skali od 0 (</w:t>
      </w:r>
      <w:r w:rsidRPr="00E7316E">
        <w:rPr>
          <w:rFonts w:ascii="Century Gothic" w:eastAsia="Times New Roman" w:hAnsi="Century Gothic" w:cs="Times New Roman"/>
          <w:smallCaps/>
          <w:lang w:eastAsia="pl-PL"/>
        </w:rPr>
        <w:t>bardzo źle</w:t>
      </w:r>
      <w:r w:rsidRPr="00E7316E">
        <w:rPr>
          <w:rFonts w:ascii="Century Gothic" w:eastAsia="Times New Roman" w:hAnsi="Century Gothic" w:cs="Times New Roman"/>
          <w:lang w:eastAsia="pl-PL"/>
        </w:rPr>
        <w:t>) do 10 (</w:t>
      </w:r>
      <w:r w:rsidRPr="00E7316E">
        <w:rPr>
          <w:rFonts w:ascii="Century Gothic" w:eastAsia="Times New Roman" w:hAnsi="Century Gothic" w:cs="Times New Roman"/>
          <w:smallCaps/>
          <w:lang w:eastAsia="pl-PL"/>
        </w:rPr>
        <w:t>bardzo dobrze</w:t>
      </w:r>
      <w:r w:rsidRPr="00E7316E">
        <w:rPr>
          <w:rFonts w:ascii="Century Gothic" w:eastAsia="Times New Roman" w:hAnsi="Century Gothic" w:cs="Times New Roman"/>
          <w:lang w:eastAsia="pl-PL"/>
        </w:rPr>
        <w:t>), z naciskiem na identyfikację obszarów, które działają dobrze oraz tych, które wymagają doskonalenia.</w:t>
      </w:r>
    </w:p>
    <w:p w:rsidR="00D74C67" w:rsidRPr="00E7316E" w:rsidRDefault="00D74C67" w:rsidP="00094626">
      <w:pPr>
        <w:spacing w:before="80" w:after="80"/>
        <w:rPr>
          <w:rFonts w:ascii="Century Gothic" w:eastAsia="Times New Roman" w:hAnsi="Century Gothic" w:cs="Times New Roman"/>
          <w:lang w:eastAsia="pl-PL"/>
        </w:rPr>
      </w:pPr>
      <w:r w:rsidRPr="00E7316E">
        <w:rPr>
          <w:rFonts w:ascii="Century Gothic" w:eastAsia="Times New Roman" w:hAnsi="Century Gothic" w:cs="Times New Roman"/>
          <w:lang w:eastAsia="pl-PL"/>
        </w:rPr>
        <w:t xml:space="preserve">Dla potrzeb analizy przyjęto następujące </w:t>
      </w:r>
      <w:r w:rsidR="000034E6">
        <w:rPr>
          <w:rFonts w:ascii="Century Gothic" w:eastAsia="Times New Roman" w:hAnsi="Century Gothic" w:cs="Times New Roman"/>
          <w:lang w:eastAsia="pl-PL"/>
        </w:rPr>
        <w:t>obszary</w:t>
      </w:r>
      <w:r w:rsidRPr="00E7316E">
        <w:rPr>
          <w:rFonts w:ascii="Century Gothic" w:eastAsia="Times New Roman" w:hAnsi="Century Gothic" w:cs="Times New Roman"/>
          <w:lang w:eastAsia="pl-PL"/>
        </w:rPr>
        <w:t>:</w:t>
      </w:r>
    </w:p>
    <w:tbl>
      <w:tblPr>
        <w:tblStyle w:val="Tabela-Siatka"/>
        <w:tblW w:w="9640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424"/>
        <w:gridCol w:w="2309"/>
        <w:gridCol w:w="4907"/>
      </w:tblGrid>
      <w:tr w:rsidR="00D74C67" w:rsidRPr="00E7316E" w:rsidTr="00094626">
        <w:trPr>
          <w:trHeight w:hRule="exact" w:val="340"/>
        </w:trPr>
        <w:tc>
          <w:tcPr>
            <w:tcW w:w="2381" w:type="dxa"/>
            <w:vAlign w:val="center"/>
          </w:tcPr>
          <w:p w:rsidR="00D74C67" w:rsidRPr="00E7316E" w:rsidRDefault="00D74C67" w:rsidP="00F12DCE">
            <w:pPr>
              <w:pStyle w:val="Akapitzlist"/>
              <w:numPr>
                <w:ilvl w:val="0"/>
                <w:numId w:val="1"/>
              </w:numPr>
              <w:ind w:left="170" w:hanging="170"/>
              <w:contextualSpacing w:val="0"/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b/>
                <w:bCs/>
                <w:lang w:eastAsia="pl-PL"/>
              </w:rPr>
              <w:t>Obszar DOBRY:</w:t>
            </w:r>
          </w:p>
        </w:tc>
        <w:tc>
          <w:tcPr>
            <w:tcW w:w="2268" w:type="dxa"/>
            <w:vAlign w:val="center"/>
          </w:tcPr>
          <w:p w:rsidR="00D74C67" w:rsidRPr="00E7316E" w:rsidRDefault="00D74C67" w:rsidP="00F12DCE">
            <w:pPr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lang w:eastAsia="pl-PL"/>
              </w:rPr>
              <w:t>oceny 9 i 10</w:t>
            </w:r>
          </w:p>
        </w:tc>
        <w:tc>
          <w:tcPr>
            <w:tcW w:w="4820" w:type="dxa"/>
            <w:vAlign w:val="center"/>
          </w:tcPr>
          <w:p w:rsidR="00D74C67" w:rsidRPr="00E7316E" w:rsidRDefault="00156C7C" w:rsidP="00F12DCE">
            <w:pPr>
              <w:pStyle w:val="Akapitzlist"/>
              <w:numPr>
                <w:ilvl w:val="0"/>
                <w:numId w:val="2"/>
              </w:numPr>
              <w:ind w:left="56" w:hanging="113"/>
              <w:contextualSpacing w:val="0"/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lang w:eastAsia="pl-PL"/>
              </w:rPr>
              <w:t xml:space="preserve"> </w:t>
            </w:r>
            <w:r w:rsidR="00D74C67" w:rsidRPr="00E7316E">
              <w:rPr>
                <w:rFonts w:ascii="Century Gothic" w:eastAsia="Times New Roman" w:hAnsi="Century Gothic" w:cs="Times New Roman"/>
                <w:lang w:eastAsia="pl-PL"/>
              </w:rPr>
              <w:t>Zadowolenie</w:t>
            </w:r>
          </w:p>
        </w:tc>
      </w:tr>
      <w:tr w:rsidR="00D74C67" w:rsidRPr="00E7316E" w:rsidTr="00094626">
        <w:trPr>
          <w:trHeight w:hRule="exact" w:val="340"/>
        </w:trPr>
        <w:tc>
          <w:tcPr>
            <w:tcW w:w="2381" w:type="dxa"/>
            <w:vAlign w:val="center"/>
          </w:tcPr>
          <w:p w:rsidR="00D74C67" w:rsidRPr="00E7316E" w:rsidRDefault="00D74C67" w:rsidP="00F12DCE">
            <w:pPr>
              <w:pStyle w:val="Akapitzlist"/>
              <w:numPr>
                <w:ilvl w:val="0"/>
                <w:numId w:val="1"/>
              </w:numPr>
              <w:ind w:left="170" w:hanging="170"/>
              <w:contextualSpacing w:val="0"/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b/>
                <w:bCs/>
                <w:lang w:eastAsia="pl-PL"/>
              </w:rPr>
              <w:t>Obszar OBOJĘTNY:</w:t>
            </w:r>
          </w:p>
        </w:tc>
        <w:tc>
          <w:tcPr>
            <w:tcW w:w="2268" w:type="dxa"/>
            <w:vAlign w:val="center"/>
          </w:tcPr>
          <w:p w:rsidR="00D74C67" w:rsidRPr="00E7316E" w:rsidRDefault="00D74C67" w:rsidP="00F12DCE">
            <w:pPr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lang w:eastAsia="pl-PL"/>
              </w:rPr>
              <w:t>oceny 7 i 8</w:t>
            </w:r>
          </w:p>
        </w:tc>
        <w:tc>
          <w:tcPr>
            <w:tcW w:w="4820" w:type="dxa"/>
            <w:vAlign w:val="center"/>
          </w:tcPr>
          <w:p w:rsidR="00D74C67" w:rsidRPr="00E7316E" w:rsidRDefault="00156C7C" w:rsidP="00F12DCE">
            <w:pPr>
              <w:pStyle w:val="Akapitzlist"/>
              <w:numPr>
                <w:ilvl w:val="0"/>
                <w:numId w:val="2"/>
              </w:numPr>
              <w:ind w:left="56" w:hanging="113"/>
              <w:contextualSpacing w:val="0"/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lang w:eastAsia="pl-PL"/>
              </w:rPr>
              <w:t xml:space="preserve"> </w:t>
            </w:r>
            <w:r w:rsidR="00D74C67" w:rsidRPr="00E7316E">
              <w:rPr>
                <w:rFonts w:ascii="Century Gothic" w:eastAsia="Times New Roman" w:hAnsi="Century Gothic" w:cs="Times New Roman"/>
                <w:lang w:eastAsia="pl-PL"/>
              </w:rPr>
              <w:t>Neutralność/Akceptacja</w:t>
            </w:r>
          </w:p>
        </w:tc>
      </w:tr>
      <w:tr w:rsidR="00D74C67" w:rsidRPr="00E7316E" w:rsidTr="00094626">
        <w:trPr>
          <w:trHeight w:hRule="exact" w:val="340"/>
        </w:trPr>
        <w:tc>
          <w:tcPr>
            <w:tcW w:w="2381" w:type="dxa"/>
            <w:vAlign w:val="center"/>
          </w:tcPr>
          <w:p w:rsidR="00D74C67" w:rsidRPr="00E7316E" w:rsidRDefault="00D74C67" w:rsidP="00F12DCE">
            <w:pPr>
              <w:pStyle w:val="Akapitzlist"/>
              <w:numPr>
                <w:ilvl w:val="0"/>
                <w:numId w:val="1"/>
              </w:numPr>
              <w:ind w:left="170" w:hanging="170"/>
              <w:contextualSpacing w:val="0"/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b/>
                <w:bCs/>
                <w:lang w:eastAsia="pl-PL"/>
              </w:rPr>
              <w:t>Obszar ZŁY:</w:t>
            </w:r>
          </w:p>
        </w:tc>
        <w:tc>
          <w:tcPr>
            <w:tcW w:w="2268" w:type="dxa"/>
            <w:vAlign w:val="center"/>
          </w:tcPr>
          <w:p w:rsidR="00D74C67" w:rsidRPr="00E7316E" w:rsidRDefault="00D74C67" w:rsidP="00F12DCE">
            <w:pPr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lang w:eastAsia="pl-PL"/>
              </w:rPr>
              <w:t>oceny od 0 do 6</w:t>
            </w:r>
          </w:p>
        </w:tc>
        <w:tc>
          <w:tcPr>
            <w:tcW w:w="4820" w:type="dxa"/>
            <w:vAlign w:val="center"/>
          </w:tcPr>
          <w:p w:rsidR="00D74C67" w:rsidRPr="00E7316E" w:rsidRDefault="00156C7C" w:rsidP="00F12DCE">
            <w:pPr>
              <w:pStyle w:val="Akapitzlist"/>
              <w:numPr>
                <w:ilvl w:val="0"/>
                <w:numId w:val="2"/>
              </w:numPr>
              <w:ind w:left="56" w:hanging="113"/>
              <w:contextualSpacing w:val="0"/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lang w:eastAsia="pl-PL"/>
              </w:rPr>
              <w:t xml:space="preserve"> </w:t>
            </w:r>
            <w:r w:rsidR="00D74C67" w:rsidRPr="00E7316E">
              <w:rPr>
                <w:rFonts w:ascii="Century Gothic" w:eastAsia="Times New Roman" w:hAnsi="Century Gothic" w:cs="Times New Roman"/>
                <w:lang w:eastAsia="pl-PL"/>
              </w:rPr>
              <w:t>Niezadowolenie/Problemy</w:t>
            </w:r>
            <w:r w:rsidR="008E436F">
              <w:rPr>
                <w:rFonts w:ascii="Century Gothic" w:eastAsia="Times New Roman" w:hAnsi="Century Gothic" w:cs="Times New Roman"/>
                <w:lang w:eastAsia="pl-PL"/>
              </w:rPr>
              <w:t>/Krytyka</w:t>
            </w:r>
          </w:p>
        </w:tc>
      </w:tr>
    </w:tbl>
    <w:p w:rsidR="00640502" w:rsidRPr="00E7316E" w:rsidRDefault="00640502" w:rsidP="00094626">
      <w:pPr>
        <w:spacing w:before="240" w:after="120" w:line="240" w:lineRule="auto"/>
        <w:outlineLvl w:val="1"/>
        <w:rPr>
          <w:rFonts w:ascii="Century Gothic" w:eastAsia="Times New Roman" w:hAnsi="Century Gothic" w:cs="Times New Roman"/>
          <w:b/>
          <w:bCs/>
          <w:sz w:val="24"/>
          <w:szCs w:val="24"/>
          <w:lang w:eastAsia="pl-PL"/>
        </w:rPr>
      </w:pPr>
      <w:r w:rsidRPr="00E7316E">
        <w:rPr>
          <w:rFonts w:ascii="Century Gothic" w:eastAsia="Times New Roman" w:hAnsi="Century Gothic" w:cs="Times New Roman"/>
          <w:b/>
          <w:bCs/>
          <w:sz w:val="24"/>
          <w:szCs w:val="24"/>
          <w:lang w:eastAsia="pl-PL"/>
        </w:rPr>
        <w:t>I. Analiza ogólnych wskaźników satysfakcji</w:t>
      </w:r>
    </w:p>
    <w:p w:rsidR="00E7316E" w:rsidRPr="00E7316E" w:rsidRDefault="00640502" w:rsidP="00E7316E">
      <w:pPr>
        <w:spacing w:after="120" w:line="240" w:lineRule="auto"/>
        <w:rPr>
          <w:rFonts w:ascii="Century Gothic" w:eastAsia="Times New Roman" w:hAnsi="Century Gothic" w:cs="Times New Roman"/>
          <w:lang w:eastAsia="pl-PL"/>
        </w:rPr>
      </w:pPr>
      <w:r w:rsidRPr="00E7316E">
        <w:rPr>
          <w:rFonts w:ascii="Century Gothic" w:eastAsia="Times New Roman" w:hAnsi="Century Gothic" w:cs="Times New Roman"/>
          <w:lang w:eastAsia="pl-PL"/>
        </w:rPr>
        <w:t>Poniższa tabela przedstawia wyniki zbiorcze dla wszystkich badanych obszarów:</w:t>
      </w:r>
    </w:p>
    <w:tbl>
      <w:tblPr>
        <w:tblStyle w:val="Tabela-Siatka"/>
        <w:tblW w:w="0" w:type="auto"/>
        <w:tblLayout w:type="fixed"/>
        <w:tblLook w:val="04A0"/>
      </w:tblPr>
      <w:tblGrid>
        <w:gridCol w:w="817"/>
        <w:gridCol w:w="2552"/>
        <w:gridCol w:w="1134"/>
        <w:gridCol w:w="1134"/>
        <w:gridCol w:w="1275"/>
        <w:gridCol w:w="993"/>
        <w:gridCol w:w="1134"/>
      </w:tblGrid>
      <w:tr w:rsidR="003022EB" w:rsidTr="000C1474">
        <w:tc>
          <w:tcPr>
            <w:tcW w:w="3369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04E25" w:rsidRPr="00004E25" w:rsidRDefault="00004E25" w:rsidP="00004E25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                              </w:t>
            </w:r>
            <w:r w:rsidR="003022E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      </w:t>
            </w: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Ocena</w:t>
            </w:r>
          </w:p>
          <w:p w:rsidR="00004E25" w:rsidRPr="00004E25" w:rsidRDefault="00004E25" w:rsidP="00004E25">
            <w:pP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Pytanie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:rsidR="00004E25" w:rsidRPr="003022EB" w:rsidRDefault="00004E25" w:rsidP="003E0882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</w:pPr>
            <w:r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>Pozytywna</w:t>
            </w:r>
            <w:r w:rsidR="000C1474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 </w:t>
            </w:r>
            <w:r w:rsidR="000C1474"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>–</w:t>
            </w:r>
            <w:r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 xml:space="preserve"> </w:t>
            </w:r>
            <w:r w:rsidR="000C1474"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>ocena</w:t>
            </w:r>
            <w:r w:rsidR="000C1474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 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10</w:t>
            </w:r>
            <w:r w:rsidR="00CC26D9"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br/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 (bardzo dobrze)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:rsidR="00004E25" w:rsidRPr="003022EB" w:rsidRDefault="00004E25" w:rsidP="003E0882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</w:pP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P</w:t>
            </w:r>
            <w:r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>ozytywna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 </w:t>
            </w:r>
            <w:r w:rsidR="000C1474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– ocena 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9 (dobrze)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0C1474" w:rsidRPr="000C1474" w:rsidRDefault="00004E25" w:rsidP="003E0882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</w:pPr>
            <w:r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>Suma pozytywnych</w:t>
            </w:r>
          </w:p>
          <w:p w:rsidR="00004E25" w:rsidRPr="003022EB" w:rsidRDefault="00004E25" w:rsidP="003E0882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</w:pP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(</w:t>
            </w:r>
            <w:r w:rsidR="000C1474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oceny 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10+9)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:rsidR="00004E25" w:rsidRPr="003022EB" w:rsidRDefault="00004E25" w:rsidP="003E0882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</w:pPr>
            <w:r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 xml:space="preserve">Neutralne 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(</w:t>
            </w:r>
            <w:r w:rsidR="000C1474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oceny 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8+7)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:rsidR="000C1474" w:rsidRDefault="00004E25" w:rsidP="003E0882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</w:pPr>
            <w:r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>Negatywne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 (</w:t>
            </w:r>
            <w:r w:rsidR="000C1474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ocena</w:t>
            </w:r>
          </w:p>
          <w:p w:rsidR="00004E25" w:rsidRPr="003022EB" w:rsidRDefault="00004E25" w:rsidP="003E0882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</w:pP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6–0)</w:t>
            </w:r>
          </w:p>
        </w:tc>
      </w:tr>
      <w:tr w:rsidR="003022EB" w:rsidTr="000C1474">
        <w:trPr>
          <w:trHeight w:hRule="exact" w:val="45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22EB" w:rsidRPr="00004E25" w:rsidRDefault="003022EB" w:rsidP="00CC26D9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D02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2EB" w:rsidRPr="00004E25" w:rsidRDefault="003022EB" w:rsidP="003022EB">
            <w:pPr>
              <w:ind w:left="-113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Czystość</w:t>
            </w: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59,75%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15,68%</w:t>
            </w:r>
          </w:p>
        </w:tc>
        <w:tc>
          <w:tcPr>
            <w:tcW w:w="1275" w:type="dxa"/>
            <w:shd w:val="clear" w:color="auto" w:fill="EAF1DD" w:themeFill="accent3" w:themeFillTint="33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75,43%</w:t>
            </w:r>
          </w:p>
        </w:tc>
        <w:tc>
          <w:tcPr>
            <w:tcW w:w="993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11,44%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13,13%</w:t>
            </w:r>
          </w:p>
        </w:tc>
      </w:tr>
      <w:tr w:rsidR="003022EB" w:rsidTr="000C1474">
        <w:trPr>
          <w:trHeight w:hRule="exact" w:val="57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22EB" w:rsidRPr="00004E25" w:rsidRDefault="003022EB" w:rsidP="00CC26D9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E01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-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2EB" w:rsidRPr="00004E25" w:rsidRDefault="003022EB" w:rsidP="003022EB">
            <w:pPr>
              <w:ind w:left="-113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Respektowanie praw</w:t>
            </w: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3E0882" w:rsidRPr="003E0882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pacjenta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61,54%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13,68%</w:t>
            </w:r>
          </w:p>
        </w:tc>
        <w:tc>
          <w:tcPr>
            <w:tcW w:w="1275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75,22%</w:t>
            </w:r>
          </w:p>
        </w:tc>
        <w:tc>
          <w:tcPr>
            <w:tcW w:w="993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7,26%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17,52%</w:t>
            </w:r>
          </w:p>
        </w:tc>
      </w:tr>
      <w:tr w:rsidR="003022EB" w:rsidTr="000C1474">
        <w:trPr>
          <w:trHeight w:hRule="exact" w:val="56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22EB" w:rsidRPr="00004E25" w:rsidRDefault="003022EB" w:rsidP="00CC26D9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B02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2EB" w:rsidRPr="00004E25" w:rsidRDefault="003022EB" w:rsidP="003022EB">
            <w:pPr>
              <w:ind w:left="-113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Opieka/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Zaangażowanie</w:t>
            </w:r>
            <w:r w:rsidR="003E0882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personelu</w:t>
            </w: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66,12%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6,94%</w:t>
            </w:r>
          </w:p>
        </w:tc>
        <w:tc>
          <w:tcPr>
            <w:tcW w:w="1275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73,06%</w:t>
            </w:r>
          </w:p>
        </w:tc>
        <w:tc>
          <w:tcPr>
            <w:tcW w:w="993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8,98%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17,96%</w:t>
            </w:r>
          </w:p>
        </w:tc>
      </w:tr>
      <w:tr w:rsidR="003022EB" w:rsidTr="000C1474">
        <w:trPr>
          <w:trHeight w:hRule="exact" w:val="45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22EB" w:rsidRPr="00004E25" w:rsidRDefault="003022EB" w:rsidP="00CC26D9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F01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2EB" w:rsidRPr="00004E25" w:rsidRDefault="003022EB" w:rsidP="003022EB">
            <w:pPr>
              <w:ind w:left="-113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Rekomendacja</w:t>
            </w: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66,38%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5,96%</w:t>
            </w:r>
          </w:p>
        </w:tc>
        <w:tc>
          <w:tcPr>
            <w:tcW w:w="1275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72,34%</w:t>
            </w:r>
          </w:p>
        </w:tc>
        <w:tc>
          <w:tcPr>
            <w:tcW w:w="993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9,79%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17,87%</w:t>
            </w:r>
          </w:p>
        </w:tc>
      </w:tr>
      <w:tr w:rsidR="003022EB" w:rsidTr="000C1474">
        <w:trPr>
          <w:trHeight w:hRule="exact" w:val="45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22EB" w:rsidRPr="00004E25" w:rsidRDefault="003022EB" w:rsidP="00CC26D9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C02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2EB" w:rsidRPr="00004E25" w:rsidRDefault="003022EB" w:rsidP="003022EB">
            <w:pPr>
              <w:ind w:left="-113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Zrozumiałość zaleceń</w:t>
            </w: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63,29%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8,44%</w:t>
            </w:r>
          </w:p>
        </w:tc>
        <w:tc>
          <w:tcPr>
            <w:tcW w:w="1275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71,73%</w:t>
            </w:r>
          </w:p>
        </w:tc>
        <w:tc>
          <w:tcPr>
            <w:tcW w:w="993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13,93%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14,34%</w:t>
            </w:r>
          </w:p>
        </w:tc>
      </w:tr>
      <w:tr w:rsidR="003022EB" w:rsidTr="000C1474">
        <w:trPr>
          <w:trHeight w:hRule="exact" w:val="45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22EB" w:rsidRPr="00004E25" w:rsidRDefault="003022EB" w:rsidP="00CC26D9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B03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2EB" w:rsidRPr="00004E25" w:rsidRDefault="003022EB" w:rsidP="003022EB">
            <w:pPr>
              <w:ind w:left="-113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Zmniejszanie bólu</w:t>
            </w: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62,76%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8,67%</w:t>
            </w:r>
          </w:p>
        </w:tc>
        <w:tc>
          <w:tcPr>
            <w:tcW w:w="1275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71,43%</w:t>
            </w:r>
          </w:p>
        </w:tc>
        <w:tc>
          <w:tcPr>
            <w:tcW w:w="993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12,75%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15,82%</w:t>
            </w:r>
          </w:p>
        </w:tc>
      </w:tr>
      <w:tr w:rsidR="003022EB" w:rsidTr="000C1474">
        <w:trPr>
          <w:trHeight w:hRule="exact" w:val="56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22EB" w:rsidRPr="00004E25" w:rsidRDefault="003022EB" w:rsidP="00CC26D9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C01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2EB" w:rsidRPr="00004E25" w:rsidRDefault="003022EB" w:rsidP="003022EB">
            <w:pPr>
              <w:ind w:left="-113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Zrozumiałość informacje</w:t>
            </w: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o zdrowiu</w:t>
            </w: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61,51%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8,37%</w:t>
            </w:r>
          </w:p>
        </w:tc>
        <w:tc>
          <w:tcPr>
            <w:tcW w:w="1275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69,88%</w:t>
            </w:r>
          </w:p>
        </w:tc>
        <w:tc>
          <w:tcPr>
            <w:tcW w:w="993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12,14%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17,98%</w:t>
            </w:r>
          </w:p>
        </w:tc>
      </w:tr>
      <w:tr w:rsidR="003022EB" w:rsidTr="000C1474">
        <w:trPr>
          <w:trHeight w:hRule="exact" w:val="45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22EB" w:rsidRPr="00004E25" w:rsidRDefault="003022EB" w:rsidP="00CC26D9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B01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2EB" w:rsidRPr="00004E25" w:rsidRDefault="003022EB" w:rsidP="003022EB">
            <w:pPr>
              <w:ind w:left="-113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Uwzględnianie zdania</w:t>
            </w: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58,44%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9,47%</w:t>
            </w:r>
          </w:p>
        </w:tc>
        <w:tc>
          <w:tcPr>
            <w:tcW w:w="1275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67,91%</w:t>
            </w:r>
          </w:p>
        </w:tc>
        <w:tc>
          <w:tcPr>
            <w:tcW w:w="993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12,35%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19,74%</w:t>
            </w:r>
          </w:p>
        </w:tc>
      </w:tr>
      <w:tr w:rsidR="003022EB" w:rsidTr="000C1474">
        <w:trPr>
          <w:trHeight w:hRule="exact" w:val="45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22EB" w:rsidRPr="00004E25" w:rsidRDefault="003022EB" w:rsidP="00CC26D9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A01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2EB" w:rsidRPr="00004E25" w:rsidRDefault="003022EB" w:rsidP="003022EB">
            <w:pPr>
              <w:ind w:left="-113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Sprawność przyjęcia</w:t>
            </w: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55,47%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11,72%</w:t>
            </w:r>
          </w:p>
        </w:tc>
        <w:tc>
          <w:tcPr>
            <w:tcW w:w="1275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67,19%</w:t>
            </w:r>
          </w:p>
        </w:tc>
        <w:tc>
          <w:tcPr>
            <w:tcW w:w="993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14,06%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18,75%</w:t>
            </w:r>
          </w:p>
        </w:tc>
      </w:tr>
      <w:tr w:rsidR="003022EB" w:rsidTr="003E0882">
        <w:trPr>
          <w:trHeight w:hRule="exact" w:val="45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22EB" w:rsidRPr="00004E25" w:rsidRDefault="003022EB" w:rsidP="00CC26D9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D01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2EB" w:rsidRPr="00004E25" w:rsidRDefault="003022EB" w:rsidP="003022EB">
            <w:pPr>
              <w:ind w:left="-113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Wyżywienie</w:t>
            </w: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45,1%</w:t>
            </w:r>
          </w:p>
        </w:tc>
        <w:tc>
          <w:tcPr>
            <w:tcW w:w="1134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16,18%</w:t>
            </w:r>
          </w:p>
        </w:tc>
        <w:tc>
          <w:tcPr>
            <w:tcW w:w="1275" w:type="dxa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61,28%</w:t>
            </w:r>
          </w:p>
        </w:tc>
        <w:tc>
          <w:tcPr>
            <w:tcW w:w="993" w:type="dxa"/>
            <w:shd w:val="clear" w:color="auto" w:fill="DAEEF3" w:themeFill="accent5" w:themeFillTint="33"/>
            <w:vAlign w:val="center"/>
          </w:tcPr>
          <w:p w:rsidR="003022EB" w:rsidRPr="000C6BA4" w:rsidRDefault="003022EB" w:rsidP="00004E25">
            <w:pPr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0C6BA4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17,65%</w:t>
            </w:r>
          </w:p>
        </w:tc>
        <w:tc>
          <w:tcPr>
            <w:tcW w:w="1134" w:type="dxa"/>
            <w:shd w:val="clear" w:color="auto" w:fill="F2DBDB" w:themeFill="accent2" w:themeFillTint="33"/>
            <w:vAlign w:val="center"/>
          </w:tcPr>
          <w:p w:rsidR="003022EB" w:rsidRPr="00004E25" w:rsidRDefault="003022EB" w:rsidP="00004E25">
            <w:pPr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21,07%</w:t>
            </w:r>
          </w:p>
        </w:tc>
      </w:tr>
    </w:tbl>
    <w:p w:rsidR="00094626" w:rsidRDefault="00094626" w:rsidP="000034E6">
      <w:pPr>
        <w:pStyle w:val="Nagwek3"/>
        <w:spacing w:before="120" w:beforeAutospacing="0" w:after="0" w:afterAutospacing="0" w:line="276" w:lineRule="auto"/>
        <w:rPr>
          <w:rStyle w:val="Pogrubienie"/>
          <w:rFonts w:ascii="Century Gothic" w:hAnsi="Century Gothic"/>
          <w:bCs/>
          <w:sz w:val="20"/>
          <w:szCs w:val="20"/>
        </w:rPr>
      </w:pPr>
    </w:p>
    <w:p w:rsidR="00094626" w:rsidRDefault="00094626" w:rsidP="000034E6">
      <w:pPr>
        <w:pStyle w:val="Nagwek3"/>
        <w:spacing w:before="120" w:beforeAutospacing="0" w:after="0" w:afterAutospacing="0" w:line="276" w:lineRule="auto"/>
        <w:rPr>
          <w:rStyle w:val="Pogrubienie"/>
          <w:rFonts w:ascii="Century Gothic" w:hAnsi="Century Gothic"/>
          <w:bCs/>
          <w:sz w:val="20"/>
          <w:szCs w:val="20"/>
        </w:rPr>
      </w:pPr>
    </w:p>
    <w:p w:rsidR="00094626" w:rsidRDefault="00094626" w:rsidP="000034E6">
      <w:pPr>
        <w:pStyle w:val="Nagwek3"/>
        <w:spacing w:before="120" w:beforeAutospacing="0" w:after="0" w:afterAutospacing="0" w:line="276" w:lineRule="auto"/>
        <w:rPr>
          <w:rStyle w:val="Pogrubienie"/>
          <w:rFonts w:ascii="Century Gothic" w:hAnsi="Century Gothic"/>
          <w:bCs/>
          <w:sz w:val="20"/>
          <w:szCs w:val="20"/>
        </w:rPr>
      </w:pPr>
    </w:p>
    <w:p w:rsidR="000034E6" w:rsidRPr="003E2282" w:rsidRDefault="000034E6" w:rsidP="000034E6">
      <w:pPr>
        <w:pStyle w:val="Nagwek3"/>
        <w:spacing w:before="120" w:beforeAutospacing="0" w:after="0" w:afterAutospacing="0" w:line="276" w:lineRule="auto"/>
        <w:rPr>
          <w:rFonts w:ascii="Century Gothic" w:hAnsi="Century Gothic"/>
          <w:sz w:val="22"/>
          <w:szCs w:val="22"/>
        </w:rPr>
      </w:pPr>
      <w:r w:rsidRPr="003E2282">
        <w:rPr>
          <w:rStyle w:val="Pogrubienie"/>
          <w:rFonts w:ascii="Century Gothic" w:hAnsi="Century Gothic"/>
          <w:bCs/>
          <w:sz w:val="22"/>
          <w:szCs w:val="22"/>
        </w:rPr>
        <w:lastRenderedPageBreak/>
        <w:t>Kluczowe obserwacje:</w:t>
      </w:r>
    </w:p>
    <w:p w:rsidR="000034E6" w:rsidRPr="00094626" w:rsidRDefault="000034E6" w:rsidP="003E2282">
      <w:pPr>
        <w:pStyle w:val="NormalnyWeb"/>
        <w:numPr>
          <w:ilvl w:val="0"/>
          <w:numId w:val="4"/>
        </w:numPr>
        <w:spacing w:before="0" w:beforeAutospacing="0" w:after="40" w:afterAutospacing="0" w:line="276" w:lineRule="auto"/>
        <w:ind w:left="357" w:hanging="357"/>
        <w:jc w:val="both"/>
        <w:rPr>
          <w:rFonts w:ascii="Century Gothic" w:hAnsi="Century Gothic"/>
          <w:sz w:val="22"/>
          <w:szCs w:val="22"/>
        </w:rPr>
      </w:pPr>
      <w:r w:rsidRPr="00094626">
        <w:rPr>
          <w:rStyle w:val="Pogrubienie"/>
          <w:rFonts w:ascii="Century Gothic" w:hAnsi="Century Gothic"/>
          <w:b w:val="0"/>
          <w:sz w:val="22"/>
          <w:szCs w:val="22"/>
          <w:u w:val="single"/>
        </w:rPr>
        <w:t>Dominacja ocen pozytywnych</w:t>
      </w:r>
      <w:r w:rsidRPr="00094626">
        <w:rPr>
          <w:rStyle w:val="Pogrubienie"/>
          <w:rFonts w:ascii="Century Gothic" w:hAnsi="Century Gothic"/>
          <w:b w:val="0"/>
          <w:sz w:val="22"/>
          <w:szCs w:val="22"/>
        </w:rPr>
        <w:t>:</w:t>
      </w:r>
      <w:r w:rsidRPr="00094626">
        <w:rPr>
          <w:rFonts w:ascii="Century Gothic" w:hAnsi="Century Gothic"/>
          <w:sz w:val="22"/>
          <w:szCs w:val="22"/>
        </w:rPr>
        <w:t xml:space="preserve"> we wszystkich </w:t>
      </w:r>
      <w:r w:rsidR="00CE320B">
        <w:rPr>
          <w:rFonts w:ascii="Century Gothic" w:hAnsi="Century Gothic"/>
          <w:sz w:val="22"/>
          <w:szCs w:val="22"/>
        </w:rPr>
        <w:t xml:space="preserve">badanych </w:t>
      </w:r>
      <w:r w:rsidRPr="00094626">
        <w:rPr>
          <w:rFonts w:ascii="Century Gothic" w:hAnsi="Century Gothic"/>
          <w:sz w:val="22"/>
          <w:szCs w:val="22"/>
        </w:rPr>
        <w:t>obszarach odsetek ocen pozytywnych</w:t>
      </w:r>
      <w:r w:rsidR="00094626">
        <w:rPr>
          <w:rFonts w:ascii="Century Gothic" w:hAnsi="Century Gothic"/>
          <w:sz w:val="22"/>
          <w:szCs w:val="22"/>
        </w:rPr>
        <w:t xml:space="preserve"> </w:t>
      </w:r>
      <w:r w:rsidRPr="00094626">
        <w:rPr>
          <w:rFonts w:ascii="Century Gothic" w:hAnsi="Century Gothic"/>
          <w:sz w:val="22"/>
          <w:szCs w:val="22"/>
        </w:rPr>
        <w:t>(9–10) przekracza 61%</w:t>
      </w:r>
      <w:r w:rsidR="008E436F">
        <w:rPr>
          <w:rFonts w:ascii="Century Gothic" w:hAnsi="Century Gothic"/>
          <w:sz w:val="22"/>
          <w:szCs w:val="22"/>
        </w:rPr>
        <w:t>. We wszystkich kluczowych kategoriach</w:t>
      </w:r>
      <w:r w:rsidR="00CE320B">
        <w:rPr>
          <w:rFonts w:ascii="Century Gothic" w:hAnsi="Century Gothic"/>
          <w:sz w:val="22"/>
          <w:szCs w:val="22"/>
        </w:rPr>
        <w:t xml:space="preserve"> (z wyjątkiem wyżywienia) </w:t>
      </w:r>
      <w:r w:rsidR="008E436F">
        <w:rPr>
          <w:rFonts w:ascii="Century Gothic" w:hAnsi="Century Gothic"/>
          <w:sz w:val="22"/>
          <w:szCs w:val="22"/>
        </w:rPr>
        <w:t>satysfakcja ogólna pozostaje bardzo wysoka</w:t>
      </w:r>
      <w:r w:rsidR="00CE320B">
        <w:rPr>
          <w:rFonts w:ascii="Century Gothic" w:hAnsi="Century Gothic"/>
          <w:sz w:val="22"/>
          <w:szCs w:val="22"/>
        </w:rPr>
        <w:t xml:space="preserve"> (67%-75%)</w:t>
      </w:r>
      <w:r w:rsidRPr="00094626">
        <w:rPr>
          <w:rFonts w:ascii="Century Gothic" w:hAnsi="Century Gothic"/>
          <w:sz w:val="22"/>
          <w:szCs w:val="22"/>
        </w:rPr>
        <w:t>.</w:t>
      </w:r>
    </w:p>
    <w:p w:rsidR="000034E6" w:rsidRPr="00094626" w:rsidRDefault="000034E6" w:rsidP="003E2282">
      <w:pPr>
        <w:pStyle w:val="NormalnyWeb"/>
        <w:numPr>
          <w:ilvl w:val="0"/>
          <w:numId w:val="4"/>
        </w:numPr>
        <w:spacing w:before="0" w:beforeAutospacing="0" w:after="40" w:afterAutospacing="0" w:line="276" w:lineRule="auto"/>
        <w:ind w:left="357" w:hanging="357"/>
        <w:jc w:val="both"/>
        <w:rPr>
          <w:rFonts w:ascii="Century Gothic" w:hAnsi="Century Gothic"/>
          <w:sz w:val="22"/>
          <w:szCs w:val="22"/>
        </w:rPr>
      </w:pPr>
      <w:r w:rsidRPr="00094626">
        <w:rPr>
          <w:rStyle w:val="Pogrubienie"/>
          <w:rFonts w:ascii="Century Gothic" w:hAnsi="Century Gothic"/>
          <w:b w:val="0"/>
          <w:sz w:val="22"/>
          <w:szCs w:val="22"/>
          <w:u w:val="single"/>
        </w:rPr>
        <w:t>Najwyższa satysfakcja</w:t>
      </w:r>
      <w:r w:rsidRPr="00094626">
        <w:rPr>
          <w:rStyle w:val="Pogrubienie"/>
          <w:rFonts w:ascii="Century Gothic" w:hAnsi="Century Gothic"/>
          <w:b w:val="0"/>
          <w:sz w:val="22"/>
          <w:szCs w:val="22"/>
        </w:rPr>
        <w:t>:</w:t>
      </w:r>
      <w:r w:rsidR="0000275D">
        <w:rPr>
          <w:rFonts w:ascii="Century Gothic" w:hAnsi="Century Gothic"/>
          <w:sz w:val="22"/>
          <w:szCs w:val="22"/>
        </w:rPr>
        <w:t xml:space="preserve"> najwyższy odsetek ocen pozytywnych</w:t>
      </w:r>
      <w:r w:rsidRPr="00094626">
        <w:rPr>
          <w:rFonts w:ascii="Century Gothic" w:hAnsi="Century Gothic"/>
          <w:sz w:val="22"/>
          <w:szCs w:val="22"/>
        </w:rPr>
        <w:t xml:space="preserve"> dotycz</w:t>
      </w:r>
      <w:r w:rsidR="0000275D">
        <w:rPr>
          <w:rFonts w:ascii="Century Gothic" w:hAnsi="Century Gothic"/>
          <w:sz w:val="22"/>
          <w:szCs w:val="22"/>
        </w:rPr>
        <w:t>y</w:t>
      </w:r>
      <w:r w:rsidRPr="00094626">
        <w:rPr>
          <w:rFonts w:ascii="Century Gothic" w:hAnsi="Century Gothic"/>
          <w:sz w:val="22"/>
          <w:szCs w:val="22"/>
        </w:rPr>
        <w:t xml:space="preserve"> </w:t>
      </w:r>
      <w:r w:rsidRPr="00094626">
        <w:rPr>
          <w:rStyle w:val="Pogrubienie"/>
          <w:rFonts w:ascii="Century Gothic" w:hAnsi="Century Gothic"/>
          <w:b w:val="0"/>
          <w:sz w:val="22"/>
          <w:szCs w:val="22"/>
        </w:rPr>
        <w:t>czystości (D02 – 75,43%)</w:t>
      </w:r>
      <w:r w:rsidRPr="00094626">
        <w:rPr>
          <w:rFonts w:ascii="Century Gothic" w:hAnsi="Century Gothic"/>
          <w:sz w:val="22"/>
          <w:szCs w:val="22"/>
        </w:rPr>
        <w:t xml:space="preserve"> oraz </w:t>
      </w:r>
      <w:r w:rsidRPr="00094626">
        <w:rPr>
          <w:rStyle w:val="Pogrubienie"/>
          <w:rFonts w:ascii="Century Gothic" w:hAnsi="Century Gothic"/>
          <w:b w:val="0"/>
          <w:sz w:val="22"/>
          <w:szCs w:val="22"/>
        </w:rPr>
        <w:t>respektowania praw pacjenta (E01 – 75,22%)</w:t>
      </w:r>
      <w:r w:rsidR="00CE320B">
        <w:rPr>
          <w:rStyle w:val="Pogrubienie"/>
          <w:rFonts w:ascii="Century Gothic" w:hAnsi="Century Gothic"/>
          <w:b w:val="0"/>
          <w:sz w:val="22"/>
          <w:szCs w:val="22"/>
        </w:rPr>
        <w:t xml:space="preserve"> </w:t>
      </w:r>
    </w:p>
    <w:p w:rsidR="000034E6" w:rsidRPr="00094626" w:rsidRDefault="000034E6" w:rsidP="003E2282">
      <w:pPr>
        <w:pStyle w:val="NormalnyWeb"/>
        <w:numPr>
          <w:ilvl w:val="0"/>
          <w:numId w:val="4"/>
        </w:numPr>
        <w:spacing w:before="0" w:beforeAutospacing="0" w:after="40" w:afterAutospacing="0" w:line="276" w:lineRule="auto"/>
        <w:ind w:left="357" w:hanging="357"/>
        <w:jc w:val="both"/>
        <w:rPr>
          <w:rFonts w:ascii="Century Gothic" w:hAnsi="Century Gothic"/>
          <w:sz w:val="22"/>
          <w:szCs w:val="22"/>
        </w:rPr>
      </w:pPr>
      <w:r w:rsidRPr="00094626">
        <w:rPr>
          <w:rStyle w:val="Pogrubienie"/>
          <w:rFonts w:ascii="Century Gothic" w:hAnsi="Century Gothic"/>
          <w:b w:val="0"/>
          <w:sz w:val="22"/>
          <w:szCs w:val="22"/>
          <w:u w:val="single"/>
        </w:rPr>
        <w:t>Największe niezadowolenie</w:t>
      </w:r>
      <w:r w:rsidRPr="00094626">
        <w:rPr>
          <w:rStyle w:val="Pogrubienie"/>
          <w:rFonts w:ascii="Century Gothic" w:hAnsi="Century Gothic"/>
          <w:b w:val="0"/>
          <w:sz w:val="22"/>
          <w:szCs w:val="22"/>
        </w:rPr>
        <w:t>:</w:t>
      </w:r>
      <w:r w:rsidRPr="00094626">
        <w:rPr>
          <w:rFonts w:ascii="Century Gothic" w:hAnsi="Century Gothic"/>
          <w:sz w:val="22"/>
          <w:szCs w:val="22"/>
        </w:rPr>
        <w:t xml:space="preserve"> </w:t>
      </w:r>
      <w:r w:rsidR="0000275D">
        <w:rPr>
          <w:rFonts w:ascii="Century Gothic" w:hAnsi="Century Gothic"/>
          <w:sz w:val="22"/>
          <w:szCs w:val="22"/>
        </w:rPr>
        <w:t xml:space="preserve">najwyższy odsetek ocen negatywnych </w:t>
      </w:r>
      <w:r w:rsidRPr="00094626">
        <w:rPr>
          <w:rFonts w:ascii="Century Gothic" w:hAnsi="Century Gothic"/>
          <w:sz w:val="22"/>
          <w:szCs w:val="22"/>
        </w:rPr>
        <w:t xml:space="preserve">utrzymuje się w obszarze </w:t>
      </w:r>
      <w:r w:rsidRPr="00094626">
        <w:rPr>
          <w:rStyle w:val="Pogrubienie"/>
          <w:rFonts w:ascii="Century Gothic" w:hAnsi="Century Gothic"/>
          <w:b w:val="0"/>
          <w:sz w:val="22"/>
          <w:szCs w:val="22"/>
        </w:rPr>
        <w:t xml:space="preserve">wyżywienia (D01 – 21,07% </w:t>
      </w:r>
      <w:r w:rsidR="0000275D">
        <w:rPr>
          <w:rStyle w:val="Pogrubienie"/>
          <w:rFonts w:ascii="Century Gothic" w:hAnsi="Century Gothic"/>
          <w:b w:val="0"/>
          <w:sz w:val="22"/>
          <w:szCs w:val="22"/>
        </w:rPr>
        <w:t xml:space="preserve">ocen </w:t>
      </w:r>
      <w:r w:rsidRPr="00094626">
        <w:rPr>
          <w:rStyle w:val="Pogrubienie"/>
          <w:rFonts w:ascii="Century Gothic" w:hAnsi="Century Gothic"/>
          <w:b w:val="0"/>
          <w:sz w:val="22"/>
          <w:szCs w:val="22"/>
        </w:rPr>
        <w:t>negatywnych</w:t>
      </w:r>
      <w:r w:rsidR="0000275D">
        <w:rPr>
          <w:rStyle w:val="Pogrubienie"/>
          <w:rFonts w:ascii="Century Gothic" w:hAnsi="Century Gothic"/>
          <w:b w:val="0"/>
          <w:sz w:val="22"/>
          <w:szCs w:val="22"/>
        </w:rPr>
        <w:t xml:space="preserve"> [0-6]</w:t>
      </w:r>
      <w:r w:rsidRPr="00094626">
        <w:rPr>
          <w:rStyle w:val="Pogrubienie"/>
          <w:rFonts w:ascii="Century Gothic" w:hAnsi="Century Gothic"/>
          <w:b w:val="0"/>
          <w:sz w:val="22"/>
          <w:szCs w:val="22"/>
        </w:rPr>
        <w:t>)</w:t>
      </w:r>
      <w:r w:rsidR="00CE320B">
        <w:rPr>
          <w:rFonts w:ascii="Century Gothic" w:hAnsi="Century Gothic"/>
          <w:sz w:val="22"/>
          <w:szCs w:val="22"/>
        </w:rPr>
        <w:t xml:space="preserve"> </w:t>
      </w:r>
      <w:r w:rsidR="00CE320B">
        <w:rPr>
          <w:rStyle w:val="Pogrubienie"/>
          <w:rFonts w:ascii="Century Gothic" w:hAnsi="Century Gothic"/>
          <w:b w:val="0"/>
          <w:sz w:val="22"/>
          <w:szCs w:val="22"/>
        </w:rPr>
        <w:t>oraz sprawności przyjęcia pacjenta do Szpitala (A01 – 18,75%)</w:t>
      </w:r>
      <w:r w:rsidR="00CE320B" w:rsidRPr="00094626">
        <w:rPr>
          <w:rFonts w:ascii="Century Gothic" w:hAnsi="Century Gothic"/>
          <w:sz w:val="22"/>
          <w:szCs w:val="22"/>
        </w:rPr>
        <w:t>.</w:t>
      </w:r>
    </w:p>
    <w:p w:rsidR="000034E6" w:rsidRPr="00094626" w:rsidRDefault="000034E6" w:rsidP="003E2282">
      <w:pPr>
        <w:pStyle w:val="NormalnyWeb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rFonts w:ascii="Century Gothic" w:hAnsi="Century Gothic"/>
          <w:sz w:val="22"/>
          <w:szCs w:val="22"/>
        </w:rPr>
      </w:pPr>
      <w:r w:rsidRPr="00094626">
        <w:rPr>
          <w:rStyle w:val="Pogrubienie"/>
          <w:rFonts w:ascii="Century Gothic" w:hAnsi="Century Gothic"/>
          <w:b w:val="0"/>
          <w:sz w:val="22"/>
          <w:szCs w:val="22"/>
          <w:u w:val="single"/>
        </w:rPr>
        <w:t>Silne strony:</w:t>
      </w:r>
      <w:r w:rsidRPr="00094626">
        <w:rPr>
          <w:rFonts w:ascii="Century Gothic" w:hAnsi="Century Gothic"/>
          <w:sz w:val="22"/>
          <w:szCs w:val="22"/>
        </w:rPr>
        <w:t xml:space="preserve"> </w:t>
      </w:r>
      <w:r w:rsidR="0000275D">
        <w:rPr>
          <w:rFonts w:ascii="Century Gothic" w:hAnsi="Century Gothic"/>
          <w:sz w:val="22"/>
          <w:szCs w:val="22"/>
        </w:rPr>
        <w:t xml:space="preserve">oprócz </w:t>
      </w:r>
      <w:r w:rsidRPr="00094626">
        <w:rPr>
          <w:rFonts w:ascii="Century Gothic" w:hAnsi="Century Gothic"/>
          <w:sz w:val="22"/>
          <w:szCs w:val="22"/>
        </w:rPr>
        <w:t>wysok</w:t>
      </w:r>
      <w:r w:rsidR="0000275D">
        <w:rPr>
          <w:rFonts w:ascii="Century Gothic" w:hAnsi="Century Gothic"/>
          <w:sz w:val="22"/>
          <w:szCs w:val="22"/>
        </w:rPr>
        <w:t>iej oceny</w:t>
      </w:r>
      <w:r w:rsidRPr="00094626">
        <w:rPr>
          <w:rFonts w:ascii="Century Gothic" w:hAnsi="Century Gothic"/>
          <w:sz w:val="22"/>
          <w:szCs w:val="22"/>
        </w:rPr>
        <w:t xml:space="preserve"> </w:t>
      </w:r>
      <w:r w:rsidR="00094626" w:rsidRPr="00094626">
        <w:rPr>
          <w:rFonts w:ascii="Century Gothic" w:hAnsi="Century Gothic"/>
          <w:sz w:val="22"/>
          <w:szCs w:val="22"/>
        </w:rPr>
        <w:t>utrzymania czystości w klinikach/oddziałach (D02 – 75,43%</w:t>
      </w:r>
      <w:r w:rsidR="0000275D">
        <w:rPr>
          <w:rFonts w:ascii="Century Gothic" w:hAnsi="Century Gothic"/>
          <w:sz w:val="22"/>
          <w:szCs w:val="22"/>
        </w:rPr>
        <w:t xml:space="preserve"> ocen pozytywnych</w:t>
      </w:r>
      <w:r w:rsidR="00094626" w:rsidRPr="00094626">
        <w:rPr>
          <w:rFonts w:ascii="Century Gothic" w:hAnsi="Century Gothic"/>
          <w:sz w:val="22"/>
          <w:szCs w:val="22"/>
        </w:rPr>
        <w:t>),</w:t>
      </w:r>
      <w:r w:rsidR="0000275D">
        <w:rPr>
          <w:rFonts w:ascii="Century Gothic" w:hAnsi="Century Gothic"/>
          <w:sz w:val="22"/>
          <w:szCs w:val="22"/>
        </w:rPr>
        <w:t xml:space="preserve"> są to obszary leczenia i komunikacji: </w:t>
      </w:r>
      <w:r w:rsidR="00094626" w:rsidRPr="00094626">
        <w:rPr>
          <w:rFonts w:ascii="Century Gothic" w:hAnsi="Century Gothic"/>
          <w:sz w:val="22"/>
          <w:szCs w:val="22"/>
        </w:rPr>
        <w:t>przestrzegan</w:t>
      </w:r>
      <w:r w:rsidR="0000275D">
        <w:rPr>
          <w:rFonts w:ascii="Century Gothic" w:hAnsi="Century Gothic"/>
          <w:sz w:val="22"/>
          <w:szCs w:val="22"/>
        </w:rPr>
        <w:t>ie</w:t>
      </w:r>
      <w:r w:rsidR="00094626" w:rsidRPr="00094626">
        <w:rPr>
          <w:rFonts w:ascii="Century Gothic" w:hAnsi="Century Gothic"/>
          <w:sz w:val="22"/>
          <w:szCs w:val="22"/>
        </w:rPr>
        <w:t xml:space="preserve"> praw pacjenta (E01 – 75,22%), opiek</w:t>
      </w:r>
      <w:r w:rsidR="0000275D">
        <w:rPr>
          <w:rFonts w:ascii="Century Gothic" w:hAnsi="Century Gothic"/>
          <w:sz w:val="22"/>
          <w:szCs w:val="22"/>
        </w:rPr>
        <w:t>a</w:t>
      </w:r>
      <w:r w:rsidR="00094626" w:rsidRPr="00094626">
        <w:rPr>
          <w:rFonts w:ascii="Century Gothic" w:hAnsi="Century Gothic"/>
          <w:sz w:val="22"/>
          <w:szCs w:val="22"/>
        </w:rPr>
        <w:t xml:space="preserve"> (B02 – 73,06%). komunikacj</w:t>
      </w:r>
      <w:r w:rsidR="0000275D">
        <w:rPr>
          <w:rFonts w:ascii="Century Gothic" w:hAnsi="Century Gothic"/>
          <w:sz w:val="22"/>
          <w:szCs w:val="22"/>
        </w:rPr>
        <w:t>a</w:t>
      </w:r>
      <w:r w:rsidR="00094626">
        <w:rPr>
          <w:rFonts w:ascii="Century Gothic" w:hAnsi="Century Gothic"/>
          <w:sz w:val="22"/>
          <w:szCs w:val="22"/>
        </w:rPr>
        <w:t xml:space="preserve"> </w:t>
      </w:r>
      <w:r w:rsidR="00094626" w:rsidRPr="00094626">
        <w:rPr>
          <w:rFonts w:ascii="Century Gothic" w:hAnsi="Century Gothic"/>
          <w:sz w:val="22"/>
          <w:szCs w:val="22"/>
        </w:rPr>
        <w:t>z pacjentem (C02 - 71,73%)</w:t>
      </w:r>
      <w:r w:rsidR="0000275D">
        <w:rPr>
          <w:rFonts w:ascii="Century Gothic" w:hAnsi="Century Gothic"/>
          <w:sz w:val="22"/>
          <w:szCs w:val="22"/>
        </w:rPr>
        <w:t xml:space="preserve"> </w:t>
      </w:r>
      <w:r w:rsidR="00094626" w:rsidRPr="00094626">
        <w:rPr>
          <w:rFonts w:ascii="Century Gothic" w:hAnsi="Century Gothic"/>
          <w:sz w:val="22"/>
          <w:szCs w:val="22"/>
        </w:rPr>
        <w:t xml:space="preserve">oraz </w:t>
      </w:r>
      <w:r w:rsidRPr="00094626">
        <w:rPr>
          <w:rFonts w:ascii="Century Gothic" w:hAnsi="Century Gothic"/>
          <w:sz w:val="22"/>
          <w:szCs w:val="22"/>
        </w:rPr>
        <w:t>zmniejszania bólu (B03 – 71,43%)</w:t>
      </w:r>
      <w:r w:rsidR="00094626" w:rsidRPr="00094626">
        <w:rPr>
          <w:rFonts w:ascii="Century Gothic" w:hAnsi="Century Gothic"/>
          <w:sz w:val="22"/>
          <w:szCs w:val="22"/>
        </w:rPr>
        <w:t>.</w:t>
      </w:r>
      <w:r w:rsidRPr="00094626">
        <w:rPr>
          <w:rFonts w:ascii="Century Gothic" w:hAnsi="Century Gothic"/>
          <w:sz w:val="22"/>
          <w:szCs w:val="22"/>
        </w:rPr>
        <w:t xml:space="preserve"> </w:t>
      </w:r>
    </w:p>
    <w:p w:rsidR="00D74C67" w:rsidRPr="008E436F" w:rsidRDefault="003E2282" w:rsidP="00762606">
      <w:pPr>
        <w:spacing w:before="240" w:after="120" w:line="240" w:lineRule="auto"/>
        <w:outlineLvl w:val="1"/>
        <w:rPr>
          <w:rFonts w:ascii="Century Gothic" w:eastAsia="Times New Roman" w:hAnsi="Century Gothic" w:cs="Times New Roman"/>
          <w:b/>
          <w:bCs/>
          <w:smallCaps/>
          <w:sz w:val="24"/>
          <w:szCs w:val="24"/>
          <w:lang w:eastAsia="pl-PL"/>
        </w:rPr>
      </w:pPr>
      <w:r>
        <w:rPr>
          <w:rFonts w:ascii="Century Gothic" w:eastAsia="Times New Roman" w:hAnsi="Century Gothic" w:cs="Times New Roman"/>
          <w:b/>
          <w:bCs/>
          <w:smallCaps/>
          <w:sz w:val="24"/>
          <w:szCs w:val="24"/>
          <w:lang w:eastAsia="pl-PL"/>
        </w:rPr>
        <w:t>I</w:t>
      </w:r>
      <w:r w:rsidR="00640502" w:rsidRPr="008E436F">
        <w:rPr>
          <w:rFonts w:ascii="Century Gothic" w:eastAsia="Times New Roman" w:hAnsi="Century Gothic" w:cs="Times New Roman"/>
          <w:b/>
          <w:bCs/>
          <w:smallCaps/>
          <w:sz w:val="24"/>
          <w:szCs w:val="24"/>
          <w:lang w:eastAsia="pl-PL"/>
        </w:rPr>
        <w:t xml:space="preserve">I. </w:t>
      </w:r>
      <w:r w:rsidR="00D74C67" w:rsidRPr="008E436F">
        <w:rPr>
          <w:rFonts w:ascii="Century Gothic" w:eastAsia="Times New Roman" w:hAnsi="Century Gothic" w:cs="Times New Roman"/>
          <w:b/>
          <w:bCs/>
          <w:smallCaps/>
          <w:sz w:val="24"/>
          <w:szCs w:val="24"/>
          <w:lang w:eastAsia="pl-PL"/>
        </w:rPr>
        <w:t>Analiza poszczególnych pytań ankiety:</w:t>
      </w:r>
    </w:p>
    <w:p w:rsidR="00D74C67" w:rsidRPr="00CE320B" w:rsidRDefault="00D74C67" w:rsidP="00CE320B">
      <w:pPr>
        <w:spacing w:before="120" w:after="24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CE320B">
        <w:rPr>
          <w:rFonts w:ascii="Century Gothic" w:eastAsia="Times New Roman" w:hAnsi="Century Gothic" w:cs="Times New Roman"/>
          <w:b/>
          <w:bCs/>
          <w:lang w:eastAsia="pl-PL"/>
        </w:rPr>
        <w:t>A01. Jak oceniasz sprawność procesu przyjęcia do szpitala?</w:t>
      </w:r>
    </w:p>
    <w:tbl>
      <w:tblPr>
        <w:tblW w:w="937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42"/>
        <w:gridCol w:w="4581"/>
      </w:tblGrid>
      <w:tr w:rsidR="00AF0E41" w:rsidRPr="00D53DAF" w:rsidTr="00CE320B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8E436F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8E436F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12" w:type="dxa"/>
            <w:shd w:val="clear" w:color="auto" w:fill="F2F2F2" w:themeFill="background1" w:themeFillShade="F2"/>
            <w:vAlign w:val="center"/>
            <w:hideMark/>
          </w:tcPr>
          <w:p w:rsidR="00D74C67" w:rsidRPr="008E436F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8E436F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D74C67" w:rsidRPr="008E436F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8E436F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D74C67" w:rsidRPr="00D53DAF" w:rsidTr="003E2282">
        <w:trPr>
          <w:trHeight w:hRule="exact" w:val="713"/>
          <w:tblCellSpacing w:w="15" w:type="dxa"/>
        </w:trPr>
        <w:tc>
          <w:tcPr>
            <w:tcW w:w="2704" w:type="dxa"/>
            <w:shd w:val="clear" w:color="auto" w:fill="auto"/>
            <w:vAlign w:val="center"/>
            <w:hideMark/>
          </w:tcPr>
          <w:p w:rsidR="00D74C67" w:rsidRPr="00CE320B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12" w:type="dxa"/>
            <w:shd w:val="clear" w:color="auto" w:fill="auto"/>
            <w:vAlign w:val="center"/>
            <w:hideMark/>
          </w:tcPr>
          <w:p w:rsidR="00D74C67" w:rsidRPr="00CE320B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67,19%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  <w:t>(172 przypadki)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D74C67" w:rsidRPr="00CE320B" w:rsidRDefault="00D74C67" w:rsidP="00CE320B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55,47% pacjentów ocenia proces przyjęcia jako </w:t>
            </w:r>
            <w:r w:rsidRPr="00CE320B">
              <w:rPr>
                <w:rFonts w:ascii="Century Gothic" w:eastAsia="Times New Roman" w:hAnsi="Century Gothic" w:cs="Times New Roman"/>
                <w:smallCaps/>
                <w:sz w:val="20"/>
                <w:szCs w:val="20"/>
                <w:lang w:eastAsia="pl-PL"/>
              </w:rPr>
              <w:t>Bardzo dobrze</w:t>
            </w:r>
            <w:r w:rsidR="004C64B5"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(10),</w:t>
            </w:r>
            <w:r w:rsid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a 11,72% jako 9.</w:t>
            </w:r>
          </w:p>
        </w:tc>
      </w:tr>
      <w:tr w:rsidR="00D74C67" w:rsidRPr="00D53DAF" w:rsidTr="00CE320B">
        <w:trPr>
          <w:trHeight w:hRule="exact" w:val="669"/>
          <w:tblCellSpacing w:w="15" w:type="dxa"/>
        </w:trPr>
        <w:tc>
          <w:tcPr>
            <w:tcW w:w="2704" w:type="dxa"/>
            <w:shd w:val="clear" w:color="auto" w:fill="auto"/>
            <w:vAlign w:val="center"/>
            <w:hideMark/>
          </w:tcPr>
          <w:p w:rsidR="00D74C67" w:rsidRPr="00CE320B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12" w:type="dxa"/>
            <w:shd w:val="clear" w:color="auto" w:fill="auto"/>
            <w:vAlign w:val="center"/>
            <w:hideMark/>
          </w:tcPr>
          <w:p w:rsidR="00D74C67" w:rsidRPr="00CE320B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14,06%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  <w:t>(36 przypadków)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D74C67" w:rsidRPr="00CE320B" w:rsidRDefault="00D74C67" w:rsidP="00CE320B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Oceny 7 i 8 stanowią </w:t>
            </w:r>
            <w:r w:rsidR="006366C4"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odpowiednio: 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7,03%</w:t>
            </w:r>
            <w:r w:rsid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i 7,03% </w:t>
            </w:r>
          </w:p>
        </w:tc>
      </w:tr>
      <w:tr w:rsidR="00D74C67" w:rsidRPr="00D53DAF" w:rsidTr="003E2282">
        <w:trPr>
          <w:trHeight w:hRule="exact" w:val="819"/>
          <w:tblCellSpacing w:w="15" w:type="dxa"/>
        </w:trPr>
        <w:tc>
          <w:tcPr>
            <w:tcW w:w="2704" w:type="dxa"/>
            <w:shd w:val="clear" w:color="auto" w:fill="auto"/>
            <w:vAlign w:val="center"/>
            <w:hideMark/>
          </w:tcPr>
          <w:p w:rsidR="00D74C67" w:rsidRPr="00CE320B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12" w:type="dxa"/>
            <w:shd w:val="clear" w:color="auto" w:fill="auto"/>
            <w:vAlign w:val="center"/>
            <w:hideMark/>
          </w:tcPr>
          <w:p w:rsidR="00D74C67" w:rsidRPr="00CE320B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18,75%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  <w:t>(48 przypadków)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D74C67" w:rsidRPr="00CE320B" w:rsidRDefault="00D74C67" w:rsidP="00AF0E41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Niemal co piąty pacjent (18,75%) jest niezadowolony</w:t>
            </w:r>
            <w:r w:rsidR="004C64B5"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z procesu przyjęcia (4,69% ocenia na 0,</w:t>
            </w:r>
            <w:r w:rsidR="00AF0E41"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a 4,69% na 5).</w:t>
            </w:r>
          </w:p>
        </w:tc>
      </w:tr>
    </w:tbl>
    <w:p w:rsidR="00D74C67" w:rsidRDefault="00D74C67" w:rsidP="00987240">
      <w:pPr>
        <w:spacing w:before="240" w:after="240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871181">
        <w:rPr>
          <w:rFonts w:ascii="Century Gothic" w:eastAsia="Times New Roman" w:hAnsi="Century Gothic" w:cs="Times New Roman"/>
          <w:b/>
          <w:bCs/>
          <w:noProof/>
          <w:sz w:val="20"/>
          <w:szCs w:val="20"/>
          <w:lang w:eastAsia="pl-PL"/>
        </w:rPr>
        <w:drawing>
          <wp:inline distT="0" distB="0" distL="0" distR="0">
            <wp:extent cx="4323056" cy="2520000"/>
            <wp:effectExtent l="19050" t="0" r="20344" b="0"/>
            <wp:docPr id="14" name="Wykres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74C67" w:rsidRDefault="00D74C67" w:rsidP="00D74C67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lang w:eastAsia="pl-PL"/>
        </w:rPr>
      </w:pPr>
      <w:r w:rsidRPr="008E436F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>Wniosek:</w:t>
      </w:r>
      <w:r w:rsidRPr="008E436F">
        <w:rPr>
          <w:rFonts w:ascii="Century Gothic" w:eastAsia="Times New Roman" w:hAnsi="Century Gothic" w:cs="Times New Roman"/>
          <w:lang w:eastAsia="pl-PL"/>
        </w:rPr>
        <w:t xml:space="preserve"> Proces przyjęcia jest zadowalający dla większości, ale </w:t>
      </w:r>
      <w:r w:rsidRPr="008E436F">
        <w:rPr>
          <w:rFonts w:ascii="Century Gothic" w:eastAsia="Times New Roman" w:hAnsi="Century Gothic" w:cs="Times New Roman"/>
          <w:b/>
          <w:bCs/>
          <w:lang w:eastAsia="pl-PL"/>
        </w:rPr>
        <w:t>obszar zły (18,75%)</w:t>
      </w:r>
      <w:r w:rsidRPr="008E436F">
        <w:rPr>
          <w:rFonts w:ascii="Century Gothic" w:eastAsia="Times New Roman" w:hAnsi="Century Gothic" w:cs="Times New Roman"/>
          <w:lang w:eastAsia="pl-PL"/>
        </w:rPr>
        <w:t xml:space="preserve"> jest znaczący i wskazuje na poważne problemy operacyjne</w:t>
      </w:r>
      <w:r w:rsidR="008E436F">
        <w:rPr>
          <w:rFonts w:ascii="Century Gothic" w:eastAsia="Times New Roman" w:hAnsi="Century Gothic" w:cs="Times New Roman"/>
          <w:lang w:eastAsia="pl-PL"/>
        </w:rPr>
        <w:t xml:space="preserve"> </w:t>
      </w:r>
      <w:r w:rsidRPr="008E436F">
        <w:rPr>
          <w:rFonts w:ascii="Century Gothic" w:eastAsia="Times New Roman" w:hAnsi="Century Gothic" w:cs="Times New Roman"/>
          <w:lang w:eastAsia="pl-PL"/>
        </w:rPr>
        <w:t>i logistyczne dla dużej grupy pacjentów.</w:t>
      </w:r>
    </w:p>
    <w:p w:rsidR="00D74C67" w:rsidRPr="00CE320B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CE320B">
        <w:rPr>
          <w:rFonts w:ascii="Century Gothic" w:eastAsia="Times New Roman" w:hAnsi="Century Gothic" w:cs="Times New Roman"/>
          <w:b/>
          <w:bCs/>
          <w:lang w:eastAsia="pl-PL"/>
        </w:rPr>
        <w:t>B01. Jak oceniasz uwzglę</w:t>
      </w:r>
      <w:r w:rsidR="00CE320B">
        <w:rPr>
          <w:rFonts w:ascii="Century Gothic" w:eastAsia="Times New Roman" w:hAnsi="Century Gothic" w:cs="Times New Roman"/>
          <w:b/>
          <w:bCs/>
          <w:lang w:eastAsia="pl-PL"/>
        </w:rPr>
        <w:t xml:space="preserve">dnianie przez personel medyczny </w:t>
      </w:r>
      <w:r w:rsidRPr="00CE320B">
        <w:rPr>
          <w:rFonts w:ascii="Century Gothic" w:eastAsia="Times New Roman" w:hAnsi="Century Gothic" w:cs="Times New Roman"/>
          <w:b/>
          <w:bCs/>
          <w:lang w:eastAsia="pl-PL"/>
        </w:rPr>
        <w:t>Twojego zdania</w:t>
      </w:r>
      <w:r w:rsidR="00CE320B">
        <w:rPr>
          <w:rFonts w:ascii="Century Gothic" w:eastAsia="Times New Roman" w:hAnsi="Century Gothic" w:cs="Times New Roman"/>
          <w:b/>
          <w:bCs/>
          <w:lang w:eastAsia="pl-PL"/>
        </w:rPr>
        <w:br/>
        <w:t xml:space="preserve">        </w:t>
      </w:r>
      <w:r w:rsidRPr="00CE320B">
        <w:rPr>
          <w:rFonts w:ascii="Century Gothic" w:eastAsia="Times New Roman" w:hAnsi="Century Gothic" w:cs="Times New Roman"/>
          <w:b/>
          <w:bCs/>
          <w:lang w:eastAsia="pl-PL"/>
        </w:rPr>
        <w:t>w procesie leczenia?</w:t>
      </w:r>
    </w:p>
    <w:tbl>
      <w:tblPr>
        <w:tblW w:w="936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987240" w:rsidRPr="00835D19" w:rsidTr="00CE320B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987240" w:rsidRPr="00CE320B" w:rsidRDefault="00987240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987240" w:rsidRPr="00CE320B" w:rsidRDefault="00987240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987240" w:rsidRPr="00CE320B" w:rsidRDefault="00987240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D74C67" w:rsidRPr="00835D19" w:rsidTr="00CE320B">
        <w:trPr>
          <w:trHeight w:hRule="exact" w:val="964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CE320B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D74C67" w:rsidRPr="00CE320B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67,91%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CE320B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(165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CE320B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Ponad połowa pacjentów (58,44%) jest Bardzo zadowolona (</w:t>
            </w:r>
            <w:r w:rsid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ocena 10), a 9,47% zadowolonych (ocen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a na 9</w:t>
            </w:r>
            <w:r w:rsid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)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.</w:t>
            </w:r>
          </w:p>
        </w:tc>
      </w:tr>
      <w:tr w:rsidR="00D74C67" w:rsidRPr="00835D19" w:rsidTr="00CE320B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CE320B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D74C67" w:rsidRPr="00CE320B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12,35%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CE320B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(30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CE320B" w:rsidRDefault="00D74C67" w:rsidP="00CE320B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Oceny neutralne stanowią </w:t>
            </w:r>
            <w:r w:rsid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odpowiednio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4,94% (7)</w:t>
            </w:r>
            <w:r w:rsid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i 7,41% (8).</w:t>
            </w:r>
          </w:p>
        </w:tc>
      </w:tr>
      <w:tr w:rsidR="00D74C67" w:rsidRPr="00835D19" w:rsidTr="008F4906">
        <w:trPr>
          <w:trHeight w:hRule="exact" w:val="99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CE320B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D74C67" w:rsidRPr="00CE320B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19,75%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CE320B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(48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CE320B" w:rsidRDefault="00D74C67" w:rsidP="000D2804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To najwyższy odsetek niezadowolenia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(19,75%) w spośród pytań o relacje</w:t>
            </w:r>
            <w:r w:rsid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i komunikację</w:t>
            </w:r>
            <w:r w:rsid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z pacjentem</w:t>
            </w:r>
            <w:r w:rsidRPr="00CE320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.</w:t>
            </w:r>
          </w:p>
        </w:tc>
      </w:tr>
    </w:tbl>
    <w:p w:rsidR="00D74C67" w:rsidRDefault="00D74C67" w:rsidP="007C32DB">
      <w:pPr>
        <w:spacing w:before="240" w:after="240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181828">
        <w:rPr>
          <w:rFonts w:ascii="Century Gothic" w:eastAsia="Times New Roman" w:hAnsi="Century Gothic" w:cs="Times New Roman"/>
          <w:b/>
          <w:bCs/>
          <w:noProof/>
          <w:sz w:val="20"/>
          <w:szCs w:val="20"/>
          <w:lang w:eastAsia="pl-PL"/>
        </w:rPr>
        <w:drawing>
          <wp:inline distT="0" distB="0" distL="0" distR="0">
            <wp:extent cx="4323056" cy="2520000"/>
            <wp:effectExtent l="19050" t="0" r="20344" b="0"/>
            <wp:docPr id="6" name="Wykres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74C67" w:rsidRPr="00CE320B" w:rsidRDefault="00D74C67" w:rsidP="00D74C67">
      <w:pPr>
        <w:spacing w:after="120"/>
        <w:jc w:val="both"/>
        <w:rPr>
          <w:rFonts w:ascii="Century Gothic" w:eastAsia="Times New Roman" w:hAnsi="Century Gothic" w:cs="Times New Roman"/>
          <w:lang w:eastAsia="pl-PL"/>
        </w:rPr>
      </w:pPr>
      <w:r w:rsidRPr="00CE320B">
        <w:rPr>
          <w:rFonts w:ascii="Century Gothic" w:eastAsia="Times New Roman" w:hAnsi="Century Gothic" w:cs="Times New Roman"/>
          <w:b/>
          <w:bCs/>
          <w:lang w:eastAsia="pl-PL"/>
        </w:rPr>
        <w:t>Wniosek:</w:t>
      </w:r>
      <w:r w:rsidRPr="00CE320B">
        <w:rPr>
          <w:rFonts w:ascii="Century Gothic" w:eastAsia="Times New Roman" w:hAnsi="Century Gothic" w:cs="Times New Roman"/>
          <w:lang w:eastAsia="pl-PL"/>
        </w:rPr>
        <w:t xml:space="preserve"> Prawie 20% pacjentów uważa, że ich zdanie nie jest wystarczająco uwzględniane</w:t>
      </w:r>
      <w:r w:rsidR="00F12DCE" w:rsidRPr="00CE320B">
        <w:rPr>
          <w:rFonts w:ascii="Century Gothic" w:eastAsia="Times New Roman" w:hAnsi="Century Gothic" w:cs="Times New Roman"/>
          <w:lang w:eastAsia="pl-PL"/>
        </w:rPr>
        <w:t xml:space="preserve"> </w:t>
      </w:r>
      <w:r w:rsidRPr="00CE320B">
        <w:rPr>
          <w:rFonts w:ascii="Century Gothic" w:eastAsia="Times New Roman" w:hAnsi="Century Gothic" w:cs="Times New Roman"/>
          <w:lang w:eastAsia="pl-PL"/>
        </w:rPr>
        <w:t xml:space="preserve">w procesie leczenia. Jest to </w:t>
      </w:r>
      <w:r w:rsidRPr="00CE320B">
        <w:rPr>
          <w:rFonts w:ascii="Century Gothic" w:eastAsia="Times New Roman" w:hAnsi="Century Gothic" w:cs="Times New Roman"/>
          <w:b/>
          <w:bCs/>
          <w:lang w:eastAsia="pl-PL"/>
        </w:rPr>
        <w:t>najgorszy wynik w relacjach lekarz-pacjent</w:t>
      </w:r>
      <w:r w:rsidRPr="00CE320B">
        <w:rPr>
          <w:rFonts w:ascii="Century Gothic" w:eastAsia="Times New Roman" w:hAnsi="Century Gothic" w:cs="Times New Roman"/>
          <w:lang w:eastAsia="pl-PL"/>
        </w:rPr>
        <w:t xml:space="preserve"> i wymaga pilnej interwencji.</w:t>
      </w: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CE320B" w:rsidRDefault="00CE320B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40098B" w:rsidRDefault="0040098B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40098B" w:rsidRDefault="0040098B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40098B" w:rsidRDefault="0040098B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D74C67" w:rsidRDefault="00D74C67" w:rsidP="00D74C67">
      <w:pPr>
        <w:spacing w:before="240"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Pr="000D2804" w:rsidRDefault="00D74C67" w:rsidP="00D74C67">
      <w:pPr>
        <w:spacing w:before="240"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0D2804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 xml:space="preserve">B02. Jak oceniasz opiekę/zaangażowanie personelu </w:t>
      </w:r>
      <w:r w:rsidR="00F12DCE" w:rsidRPr="000D2804">
        <w:rPr>
          <w:rFonts w:ascii="Century Gothic" w:eastAsia="Times New Roman" w:hAnsi="Century Gothic" w:cs="Times New Roman"/>
          <w:b/>
          <w:bCs/>
          <w:lang w:eastAsia="pl-PL"/>
        </w:rPr>
        <w:t>me</w:t>
      </w:r>
      <w:r w:rsidRPr="000D2804">
        <w:rPr>
          <w:rFonts w:ascii="Century Gothic" w:eastAsia="Times New Roman" w:hAnsi="Century Gothic" w:cs="Times New Roman"/>
          <w:b/>
          <w:bCs/>
          <w:lang w:eastAsia="pl-PL"/>
        </w:rPr>
        <w:t>dycznego?</w:t>
      </w:r>
    </w:p>
    <w:tbl>
      <w:tblPr>
        <w:tblW w:w="936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846A5C" w:rsidRPr="00D53DAF" w:rsidTr="000D2804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846A5C" w:rsidRPr="000D2804" w:rsidRDefault="00846A5C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846A5C" w:rsidRPr="000D2804" w:rsidRDefault="00846A5C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846A5C" w:rsidRPr="000D2804" w:rsidRDefault="00846A5C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D74C67" w:rsidRPr="00D53DAF" w:rsidTr="000D2804">
        <w:trPr>
          <w:trHeight w:hRule="exact" w:val="964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73,06%</w:t>
            </w: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0D2804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(179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0D2804" w:rsidRDefault="00D74C67" w:rsidP="000D2804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Najwyższy wskaźnik zadowolenia</w:t>
            </w:r>
            <w:r w:rsidR="00846A5C"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</w: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z</w:t>
            </w:r>
            <w:r w:rsidR="00846A5C"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personelu (66,12% to ocena 10,</w:t>
            </w:r>
            <w:r w:rsid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a 6,94% to ocena 9).</w:t>
            </w:r>
          </w:p>
        </w:tc>
      </w:tr>
      <w:tr w:rsidR="00D74C67" w:rsidRPr="00D53DAF" w:rsidTr="000D2804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8,98%</w:t>
            </w: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0D2804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(22 przypadki)</w:t>
            </w:r>
          </w:p>
        </w:tc>
        <w:tc>
          <w:tcPr>
            <w:tcW w:w="4536" w:type="dxa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To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najniższy</w:t>
            </w:r>
            <w:r w:rsid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odsetek ocen neutralnych</w:t>
            </w:r>
            <w:r w:rsid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w całym badaniu.</w:t>
            </w:r>
          </w:p>
        </w:tc>
      </w:tr>
      <w:tr w:rsidR="00D74C67" w:rsidRPr="00D53DAF" w:rsidTr="000D2804">
        <w:trPr>
          <w:trHeight w:hRule="exact" w:val="964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17,96%</w:t>
            </w: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0D2804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(44 przypadki)</w:t>
            </w:r>
          </w:p>
        </w:tc>
        <w:tc>
          <w:tcPr>
            <w:tcW w:w="4536" w:type="dxa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Mimo bardzo wysokiego zadowolenia ogólnego, nadal 17,96% pacjentów jest niezadowolonych.</w:t>
            </w:r>
          </w:p>
        </w:tc>
      </w:tr>
    </w:tbl>
    <w:p w:rsidR="00D74C67" w:rsidRPr="00D53DAF" w:rsidRDefault="00D74C67" w:rsidP="00285AD0">
      <w:pPr>
        <w:spacing w:before="240" w:after="240"/>
        <w:jc w:val="center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7A5AA4">
        <w:rPr>
          <w:rFonts w:ascii="Century Gothic" w:eastAsia="Times New Roman" w:hAnsi="Century Gothic" w:cs="Times New Roman"/>
          <w:noProof/>
          <w:sz w:val="20"/>
          <w:szCs w:val="20"/>
          <w:lang w:eastAsia="pl-PL"/>
        </w:rPr>
        <w:drawing>
          <wp:inline distT="0" distB="0" distL="0" distR="0">
            <wp:extent cx="4323056" cy="2520000"/>
            <wp:effectExtent l="19050" t="0" r="20344" b="0"/>
            <wp:docPr id="7" name="Wykres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D74C67" w:rsidRPr="000D2804" w:rsidRDefault="00D74C67" w:rsidP="00D74C67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lang w:eastAsia="pl-PL"/>
        </w:rPr>
      </w:pPr>
      <w:r w:rsidRPr="000D2804">
        <w:rPr>
          <w:rFonts w:ascii="Century Gothic" w:eastAsia="Times New Roman" w:hAnsi="Century Gothic" w:cs="Times New Roman"/>
          <w:b/>
          <w:bCs/>
          <w:lang w:eastAsia="pl-PL"/>
        </w:rPr>
        <w:t>Wniosek:</w:t>
      </w:r>
      <w:r w:rsidRPr="000D2804">
        <w:rPr>
          <w:rFonts w:ascii="Century Gothic" w:eastAsia="Times New Roman" w:hAnsi="Century Gothic" w:cs="Times New Roman"/>
          <w:lang w:eastAsia="pl-PL"/>
        </w:rPr>
        <w:t xml:space="preserve"> Zaangażowanie i opieka </w:t>
      </w:r>
      <w:r w:rsidR="000D2804">
        <w:rPr>
          <w:rFonts w:ascii="Century Gothic" w:eastAsia="Times New Roman" w:hAnsi="Century Gothic" w:cs="Times New Roman"/>
          <w:lang w:eastAsia="pl-PL"/>
        </w:rPr>
        <w:t xml:space="preserve">personelu </w:t>
      </w:r>
      <w:r w:rsidRPr="000D2804">
        <w:rPr>
          <w:rFonts w:ascii="Century Gothic" w:eastAsia="Times New Roman" w:hAnsi="Century Gothic" w:cs="Times New Roman"/>
          <w:lang w:eastAsia="pl-PL"/>
        </w:rPr>
        <w:t xml:space="preserve">są </w:t>
      </w:r>
      <w:r w:rsidRPr="000D2804">
        <w:rPr>
          <w:rFonts w:ascii="Century Gothic" w:eastAsia="Times New Roman" w:hAnsi="Century Gothic" w:cs="Times New Roman"/>
          <w:b/>
          <w:bCs/>
          <w:lang w:eastAsia="pl-PL"/>
        </w:rPr>
        <w:t>najmocniejszym punktem szpitala</w:t>
      </w:r>
      <w:r w:rsidRPr="000D2804">
        <w:rPr>
          <w:rFonts w:ascii="Century Gothic" w:eastAsia="Times New Roman" w:hAnsi="Century Gothic" w:cs="Times New Roman"/>
          <w:lang w:eastAsia="pl-PL"/>
        </w:rPr>
        <w:t>, co widać po najwyższym wskaźniku pozytywnym (73,06%).</w:t>
      </w: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285AD0" w:rsidRDefault="00285AD0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285AD0" w:rsidRDefault="00285AD0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0D2804" w:rsidRDefault="000D2804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0D2804" w:rsidRDefault="000D2804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0D2804" w:rsidRDefault="000D2804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sz w:val="28"/>
          <w:szCs w:val="28"/>
          <w:lang w:eastAsia="pl-PL"/>
        </w:rPr>
      </w:pPr>
    </w:p>
    <w:p w:rsidR="00D74C67" w:rsidRPr="000D2804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0D2804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>B03. Jak oceniasz próby zm</w:t>
      </w:r>
      <w:r w:rsidR="00F12DCE" w:rsidRPr="000D2804">
        <w:rPr>
          <w:rFonts w:ascii="Century Gothic" w:eastAsia="Times New Roman" w:hAnsi="Century Gothic" w:cs="Times New Roman"/>
          <w:b/>
          <w:bCs/>
          <w:lang w:eastAsia="pl-PL"/>
        </w:rPr>
        <w:t xml:space="preserve">niejszania bólu poprzez podanie </w:t>
      </w:r>
      <w:r w:rsidRPr="000D2804">
        <w:rPr>
          <w:rFonts w:ascii="Century Gothic" w:eastAsia="Times New Roman" w:hAnsi="Century Gothic" w:cs="Times New Roman"/>
          <w:b/>
          <w:bCs/>
          <w:lang w:eastAsia="pl-PL"/>
        </w:rPr>
        <w:t>leków?</w:t>
      </w:r>
    </w:p>
    <w:tbl>
      <w:tblPr>
        <w:tblW w:w="936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846A5C" w:rsidRPr="00D53DAF" w:rsidTr="000D2804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846A5C" w:rsidRPr="000D2804" w:rsidRDefault="00846A5C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846A5C" w:rsidRPr="000D2804" w:rsidRDefault="00846A5C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846A5C" w:rsidRPr="000D2804" w:rsidRDefault="00846A5C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D74C67" w:rsidRPr="00D53DAF" w:rsidTr="000D2804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71,43%</w:t>
            </w: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0D2804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(140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Ponad 62% pacje</w:t>
            </w:r>
            <w:r w:rsid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ntów ocenia leczenie bólu na 10, a blisko 9% na 9.</w:t>
            </w:r>
          </w:p>
        </w:tc>
      </w:tr>
      <w:tr w:rsidR="00D74C67" w:rsidRPr="00D53DAF" w:rsidTr="000D2804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12,75%</w:t>
            </w: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0D2804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(25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0D2804" w:rsidRDefault="00D74C67" w:rsidP="000D2804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Oce</w:t>
            </w:r>
            <w:r w:rsidR="00846A5C"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ny neutralne stanowią </w:t>
            </w:r>
            <w:r w:rsid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odpowiednio </w:t>
            </w:r>
            <w:r w:rsidR="00846A5C"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3,06% (7)</w:t>
            </w:r>
            <w:r w:rsid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i 9,69% (8).</w:t>
            </w:r>
          </w:p>
        </w:tc>
      </w:tr>
      <w:tr w:rsidR="00D74C67" w:rsidRPr="00D53DAF" w:rsidTr="000D2804">
        <w:trPr>
          <w:trHeight w:hRule="exact" w:val="941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D74C67" w:rsidRPr="000D2804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15,82%</w:t>
            </w: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0D2804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(31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0D2804" w:rsidRDefault="00D74C67" w:rsidP="000D2804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To </w:t>
            </w:r>
            <w:r w:rsidR="000D2804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trzeci</w:t>
            </w:r>
            <w:r w:rsidR="00C526FC" w:rsidRPr="000D2804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najniższy odsetek </w:t>
            </w:r>
            <w:r w:rsid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ocen negatywnych</w:t>
            </w:r>
            <w:r w:rsidRPr="000D2804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(15,82%) ze wszystkich pytań.</w:t>
            </w:r>
          </w:p>
        </w:tc>
      </w:tr>
    </w:tbl>
    <w:p w:rsidR="00D74C67" w:rsidRDefault="00D74C67" w:rsidP="00C6450C">
      <w:pPr>
        <w:spacing w:before="240" w:after="240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7C1BDE">
        <w:rPr>
          <w:rFonts w:ascii="Century Gothic" w:eastAsia="Times New Roman" w:hAnsi="Century Gothic" w:cs="Times New Roman"/>
          <w:b/>
          <w:bCs/>
          <w:noProof/>
          <w:sz w:val="20"/>
          <w:szCs w:val="20"/>
          <w:lang w:eastAsia="pl-PL"/>
        </w:rPr>
        <w:drawing>
          <wp:inline distT="0" distB="0" distL="0" distR="0">
            <wp:extent cx="4320000" cy="2518913"/>
            <wp:effectExtent l="19050" t="0" r="23400" b="0"/>
            <wp:docPr id="8" name="Wykres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D74C67" w:rsidRPr="000D2804" w:rsidRDefault="00D74C67" w:rsidP="00D74C67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lang w:eastAsia="pl-PL"/>
        </w:rPr>
      </w:pPr>
      <w:r w:rsidRPr="000D2804">
        <w:rPr>
          <w:rFonts w:ascii="Century Gothic" w:eastAsia="Times New Roman" w:hAnsi="Century Gothic" w:cs="Times New Roman"/>
          <w:b/>
          <w:bCs/>
          <w:lang w:eastAsia="pl-PL"/>
        </w:rPr>
        <w:t>Wniosek:</w:t>
      </w:r>
      <w:r w:rsidRPr="000D2804">
        <w:rPr>
          <w:rFonts w:ascii="Century Gothic" w:eastAsia="Times New Roman" w:hAnsi="Century Gothic" w:cs="Times New Roman"/>
          <w:lang w:eastAsia="pl-PL"/>
        </w:rPr>
        <w:t xml:space="preserve"> Kontrola bólu jest bardzo efektywna. Jest to </w:t>
      </w:r>
      <w:r w:rsidRPr="000D2804">
        <w:rPr>
          <w:rFonts w:ascii="Century Gothic" w:eastAsia="Times New Roman" w:hAnsi="Century Gothic" w:cs="Times New Roman"/>
          <w:b/>
          <w:bCs/>
          <w:lang w:eastAsia="pl-PL"/>
        </w:rPr>
        <w:t>obszar wzorcowy</w:t>
      </w:r>
      <w:r w:rsidRPr="000D2804">
        <w:rPr>
          <w:rFonts w:ascii="Century Gothic" w:eastAsia="Times New Roman" w:hAnsi="Century Gothic" w:cs="Times New Roman"/>
          <w:lang w:eastAsia="pl-PL"/>
        </w:rPr>
        <w:t xml:space="preserve">, wykazujący najniższy poziom niezadowolenia ze wszystkich badanych aspektów </w:t>
      </w:r>
      <w:r w:rsidR="006366C4" w:rsidRPr="000D2804">
        <w:rPr>
          <w:rFonts w:ascii="Century Gothic" w:eastAsia="Times New Roman" w:hAnsi="Century Gothic" w:cs="Times New Roman"/>
          <w:lang w:eastAsia="pl-PL"/>
        </w:rPr>
        <w:t xml:space="preserve">medycznych </w:t>
      </w:r>
      <w:r w:rsidRPr="000D2804">
        <w:rPr>
          <w:rFonts w:ascii="Century Gothic" w:eastAsia="Times New Roman" w:hAnsi="Century Gothic" w:cs="Times New Roman"/>
          <w:lang w:eastAsia="pl-PL"/>
        </w:rPr>
        <w:t>(15,82% w obszar</w:t>
      </w:r>
      <w:r w:rsidR="000D2804">
        <w:rPr>
          <w:rFonts w:ascii="Century Gothic" w:eastAsia="Times New Roman" w:hAnsi="Century Gothic" w:cs="Times New Roman"/>
          <w:lang w:eastAsia="pl-PL"/>
        </w:rPr>
        <w:t>ze złym) i trzeci najniższy spośród wszystkich pytań ankiety.</w:t>
      </w: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285AD0" w:rsidRDefault="00285AD0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00C7D" w:rsidRDefault="00D00C7D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Pr="00D00C7D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D00C7D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 xml:space="preserve">C01. Jak oceniasz zrozumiałość przekazywanych informacji dotyczących Twojego </w:t>
      </w:r>
      <w:r w:rsidR="00D00C7D">
        <w:rPr>
          <w:rFonts w:ascii="Century Gothic" w:eastAsia="Times New Roman" w:hAnsi="Century Gothic" w:cs="Times New Roman"/>
          <w:b/>
          <w:bCs/>
          <w:lang w:eastAsia="pl-PL"/>
        </w:rPr>
        <w:br/>
        <w:t xml:space="preserve">         </w:t>
      </w:r>
      <w:r w:rsidRPr="00D00C7D">
        <w:rPr>
          <w:rFonts w:ascii="Century Gothic" w:eastAsia="Times New Roman" w:hAnsi="Century Gothic" w:cs="Times New Roman"/>
          <w:b/>
          <w:bCs/>
          <w:lang w:eastAsia="pl-PL"/>
        </w:rPr>
        <w:t>stanu zdrowia i procesu leczenia podczas pobytu w szpitalu?</w:t>
      </w:r>
    </w:p>
    <w:tbl>
      <w:tblPr>
        <w:tblW w:w="936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C6450C" w:rsidRPr="00D53DAF" w:rsidTr="00D00C7D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C6450C" w:rsidRPr="00D00C7D" w:rsidRDefault="00C6450C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C6450C" w:rsidRPr="00D00C7D" w:rsidRDefault="00C6450C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C6450C" w:rsidRPr="00D00C7D" w:rsidRDefault="00C6450C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D74C67" w:rsidRPr="00D53DAF" w:rsidTr="00D00C7D">
        <w:trPr>
          <w:trHeight w:hRule="exact" w:val="964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D00C7D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D00C7D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C6450C" w:rsidRPr="00D00C7D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69,88%</w:t>
            </w: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D00C7D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(167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D00C7D" w:rsidRDefault="00D74C67" w:rsidP="00D00C7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61,51% pacjentów ocenia informacje</w:t>
            </w:r>
            <w:r w:rsid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w trakcie pobytu jako </w:t>
            </w:r>
            <w:r w:rsid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b</w:t>
            </w: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ardzo zrozumiałe (</w:t>
            </w:r>
            <w:r w:rsid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ocena </w:t>
            </w: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10)</w:t>
            </w:r>
            <w:r w:rsid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, a 8,3% dała ocenę 9.</w:t>
            </w:r>
          </w:p>
        </w:tc>
      </w:tr>
      <w:tr w:rsidR="00D74C67" w:rsidRPr="00D53DAF" w:rsidTr="00D00C7D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D00C7D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D00C7D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C6450C" w:rsidRPr="00D00C7D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12,14%</w:t>
            </w: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D00C7D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(29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D00C7D" w:rsidRDefault="00D74C67" w:rsidP="00BD2D77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Oceny 7 i 8 stanowią </w:t>
            </w:r>
            <w:r w:rsid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odpowiednio </w:t>
            </w: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3,35%</w:t>
            </w:r>
            <w:r w:rsid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i 8,79%.</w:t>
            </w:r>
          </w:p>
        </w:tc>
      </w:tr>
      <w:tr w:rsidR="00D74C67" w:rsidRPr="00D53DAF" w:rsidTr="00D00C7D">
        <w:trPr>
          <w:trHeight w:hRule="exact" w:val="964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D00C7D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D00C7D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C6450C" w:rsidRPr="00D00C7D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17,99%</w:t>
            </w: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D00C7D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(43 przypadki)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D74C67" w:rsidRPr="00D00C7D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Niezadowolenie jest umiarkowane, ale na poziomie zbliżonym do przeciętnej szpitala (17,99%).</w:t>
            </w:r>
          </w:p>
        </w:tc>
      </w:tr>
    </w:tbl>
    <w:p w:rsidR="00D74C67" w:rsidRDefault="00D74C67" w:rsidP="0021181E">
      <w:pPr>
        <w:spacing w:before="240" w:after="120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345E09">
        <w:rPr>
          <w:rFonts w:ascii="Century Gothic" w:eastAsia="Times New Roman" w:hAnsi="Century Gothic" w:cs="Times New Roman"/>
          <w:b/>
          <w:bCs/>
          <w:noProof/>
          <w:sz w:val="20"/>
          <w:szCs w:val="20"/>
          <w:lang w:eastAsia="pl-PL"/>
        </w:rPr>
        <w:drawing>
          <wp:inline distT="0" distB="0" distL="0" distR="0">
            <wp:extent cx="4320000" cy="2518914"/>
            <wp:effectExtent l="19050" t="0" r="23400" b="0"/>
            <wp:docPr id="5" name="Wykres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D74C67" w:rsidRPr="009446A9" w:rsidRDefault="00D74C67" w:rsidP="00497A2B">
      <w:pPr>
        <w:spacing w:before="240" w:after="100" w:afterAutospacing="1"/>
        <w:jc w:val="both"/>
        <w:rPr>
          <w:rFonts w:ascii="Century Gothic" w:eastAsia="Times New Roman" w:hAnsi="Century Gothic" w:cs="Times New Roman"/>
          <w:sz w:val="24"/>
          <w:szCs w:val="24"/>
          <w:lang w:eastAsia="pl-PL"/>
        </w:rPr>
      </w:pPr>
      <w:r w:rsidRPr="00BD2D77">
        <w:rPr>
          <w:rFonts w:ascii="Century Gothic" w:eastAsia="Times New Roman" w:hAnsi="Century Gothic" w:cs="Times New Roman"/>
          <w:b/>
          <w:bCs/>
          <w:lang w:eastAsia="pl-PL"/>
        </w:rPr>
        <w:t>Wniosek:</w:t>
      </w:r>
      <w:r w:rsidRPr="00BD2D77">
        <w:rPr>
          <w:rFonts w:ascii="Century Gothic" w:eastAsia="Times New Roman" w:hAnsi="Century Gothic" w:cs="Times New Roman"/>
          <w:lang w:eastAsia="pl-PL"/>
        </w:rPr>
        <w:t xml:space="preserve"> Komunikacja podczas pobytu jest dobra, ale konieczne jest poprawienie standardów dla tych 18% pacjentów, którzy nie czują się wystarczająco </w:t>
      </w:r>
      <w:r w:rsidR="00BD2D77">
        <w:rPr>
          <w:rFonts w:ascii="Century Gothic" w:eastAsia="Times New Roman" w:hAnsi="Century Gothic" w:cs="Times New Roman"/>
          <w:lang w:eastAsia="pl-PL"/>
        </w:rPr>
        <w:t>d</w:t>
      </w:r>
      <w:r w:rsidRPr="00BD2D77">
        <w:rPr>
          <w:rFonts w:ascii="Century Gothic" w:eastAsia="Times New Roman" w:hAnsi="Century Gothic" w:cs="Times New Roman"/>
          <w:lang w:eastAsia="pl-PL"/>
        </w:rPr>
        <w:t>oinformowani</w:t>
      </w:r>
      <w:r w:rsidRPr="009446A9">
        <w:rPr>
          <w:rFonts w:ascii="Century Gothic" w:eastAsia="Times New Roman" w:hAnsi="Century Gothic" w:cs="Times New Roman"/>
          <w:sz w:val="24"/>
          <w:szCs w:val="24"/>
          <w:lang w:eastAsia="pl-PL"/>
        </w:rPr>
        <w:t>.</w:t>
      </w: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BD2D77" w:rsidRDefault="00BD2D7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285AD0" w:rsidRDefault="00285AD0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BD2D77" w:rsidRDefault="00BD2D7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D74C67" w:rsidRPr="00BD2D7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BD2D77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 xml:space="preserve">C02. Jak oceniasz zrozumiałość informacji przekazanych przez personel medyczny </w:t>
      </w:r>
      <w:r w:rsidR="00BD2D77">
        <w:rPr>
          <w:rFonts w:ascii="Century Gothic" w:eastAsia="Times New Roman" w:hAnsi="Century Gothic" w:cs="Times New Roman"/>
          <w:b/>
          <w:bCs/>
          <w:lang w:eastAsia="pl-PL"/>
        </w:rPr>
        <w:br/>
        <w:t xml:space="preserve">         </w:t>
      </w:r>
      <w:r w:rsidRPr="00BD2D77">
        <w:rPr>
          <w:rFonts w:ascii="Century Gothic" w:eastAsia="Times New Roman" w:hAnsi="Century Gothic" w:cs="Times New Roman"/>
          <w:b/>
          <w:bCs/>
          <w:lang w:eastAsia="pl-PL"/>
        </w:rPr>
        <w:t>dotyczących zaleceń lekarskich</w:t>
      </w:r>
      <w:r w:rsidR="00BD2D77">
        <w:rPr>
          <w:rFonts w:ascii="Century Gothic" w:eastAsia="Times New Roman" w:hAnsi="Century Gothic" w:cs="Times New Roman"/>
          <w:b/>
          <w:bCs/>
          <w:lang w:eastAsia="pl-PL"/>
        </w:rPr>
        <w:t xml:space="preserve"> </w:t>
      </w:r>
      <w:r w:rsidRPr="00BD2D77">
        <w:rPr>
          <w:rFonts w:ascii="Century Gothic" w:eastAsia="Times New Roman" w:hAnsi="Century Gothic" w:cs="Times New Roman"/>
          <w:b/>
          <w:bCs/>
          <w:lang w:eastAsia="pl-PL"/>
        </w:rPr>
        <w:t xml:space="preserve">i dalszego procesu leczenia po opuszczeniu </w:t>
      </w:r>
      <w:r w:rsidR="00BD2D77">
        <w:rPr>
          <w:rFonts w:ascii="Century Gothic" w:eastAsia="Times New Roman" w:hAnsi="Century Gothic" w:cs="Times New Roman"/>
          <w:b/>
          <w:bCs/>
          <w:lang w:eastAsia="pl-PL"/>
        </w:rPr>
        <w:br/>
        <w:t xml:space="preserve">         </w:t>
      </w:r>
      <w:r w:rsidRPr="00BD2D77">
        <w:rPr>
          <w:rFonts w:ascii="Century Gothic" w:eastAsia="Times New Roman" w:hAnsi="Century Gothic" w:cs="Times New Roman"/>
          <w:b/>
          <w:bCs/>
          <w:lang w:eastAsia="pl-PL"/>
        </w:rPr>
        <w:t>szpitala?</w:t>
      </w:r>
    </w:p>
    <w:tbl>
      <w:tblPr>
        <w:tblW w:w="936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720F6D" w:rsidRPr="00D53DAF" w:rsidTr="00BD2D77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720F6D" w:rsidRPr="00BD2D77" w:rsidRDefault="00720F6D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720F6D" w:rsidRPr="00BD2D77" w:rsidRDefault="00720F6D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720F6D" w:rsidRPr="00BD2D77" w:rsidRDefault="00720F6D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D74C67" w:rsidRPr="00D53DAF" w:rsidTr="00BD2D77">
        <w:trPr>
          <w:trHeight w:hRule="exact" w:val="964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BD2D7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D74C67" w:rsidRPr="00BD2D7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71,73%</w:t>
            </w: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BD2D7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(170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BD2D7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63,29% pacjentów jest Bardzo zadowolonych (10) ze zrozumiałości zaleceń po wypisie.</w:t>
            </w:r>
          </w:p>
        </w:tc>
      </w:tr>
      <w:tr w:rsidR="00D74C67" w:rsidRPr="00D53DAF" w:rsidTr="00BD2D77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BD2D7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D74C67" w:rsidRPr="00BD2D7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13,92%</w:t>
            </w: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BD2D7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(33 przypadki)</w:t>
            </w:r>
          </w:p>
        </w:tc>
        <w:tc>
          <w:tcPr>
            <w:tcW w:w="4536" w:type="dxa"/>
            <w:vAlign w:val="center"/>
            <w:hideMark/>
          </w:tcPr>
          <w:p w:rsidR="00D74C67" w:rsidRPr="00BD2D7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Oceny 7 i 8 stanowią 5,49% i 8,44%.</w:t>
            </w:r>
          </w:p>
        </w:tc>
      </w:tr>
      <w:tr w:rsidR="00D74C67" w:rsidRPr="00D53DAF" w:rsidTr="00BD2D77">
        <w:trPr>
          <w:trHeight w:hRule="exact" w:val="1082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BD2D7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D74C67" w:rsidRPr="00BD2D7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14,35%</w:t>
            </w:r>
          </w:p>
          <w:p w:rsidR="00D74C67" w:rsidRPr="00BD2D7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(34 przypadki)</w:t>
            </w:r>
          </w:p>
        </w:tc>
        <w:tc>
          <w:tcPr>
            <w:tcW w:w="4536" w:type="dxa"/>
            <w:vAlign w:val="center"/>
            <w:hideMark/>
          </w:tcPr>
          <w:p w:rsidR="00D74C67" w:rsidRPr="00BD2D77" w:rsidRDefault="00D74C67" w:rsidP="00BD2D77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Ten obszar ma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najniższy odsetek niezadowolenia (14,35%)</w:t>
            </w:r>
            <w:r w:rsid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ze wszystkich pytań</w:t>
            </w:r>
            <w:r w:rsidR="006366C4"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dotyczących </w:t>
            </w:r>
            <w:r w:rsidR="006366C4"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aspektów medycznych</w:t>
            </w: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.</w:t>
            </w:r>
          </w:p>
        </w:tc>
      </w:tr>
    </w:tbl>
    <w:p w:rsidR="00D74C67" w:rsidRDefault="00D74C67" w:rsidP="00D74C67">
      <w:pPr>
        <w:spacing w:before="100" w:beforeAutospacing="1" w:after="100" w:afterAutospacing="1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F81680">
        <w:rPr>
          <w:rFonts w:ascii="Century Gothic" w:eastAsia="Times New Roman" w:hAnsi="Century Gothic" w:cs="Times New Roman"/>
          <w:b/>
          <w:bCs/>
          <w:noProof/>
          <w:sz w:val="20"/>
          <w:szCs w:val="20"/>
          <w:lang w:eastAsia="pl-PL"/>
        </w:rPr>
        <w:drawing>
          <wp:inline distT="0" distB="0" distL="0" distR="0">
            <wp:extent cx="4320000" cy="2518913"/>
            <wp:effectExtent l="19050" t="0" r="23400" b="0"/>
            <wp:docPr id="9" name="Wykres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D74C67" w:rsidRPr="00BD2D77" w:rsidRDefault="00D74C67" w:rsidP="00BD2D77">
      <w:pPr>
        <w:spacing w:before="100" w:beforeAutospacing="1" w:after="100" w:afterAutospacing="1"/>
        <w:rPr>
          <w:rFonts w:ascii="Century Gothic" w:eastAsia="Times New Roman" w:hAnsi="Century Gothic" w:cs="Times New Roman"/>
          <w:lang w:eastAsia="pl-PL"/>
        </w:rPr>
      </w:pPr>
      <w:r w:rsidRPr="00BD2D77">
        <w:rPr>
          <w:rFonts w:ascii="Century Gothic" w:eastAsia="Times New Roman" w:hAnsi="Century Gothic" w:cs="Times New Roman"/>
          <w:b/>
          <w:bCs/>
          <w:lang w:eastAsia="pl-PL"/>
        </w:rPr>
        <w:t>Wniosek:</w:t>
      </w:r>
      <w:r w:rsidRPr="00BD2D77">
        <w:rPr>
          <w:rFonts w:ascii="Century Gothic" w:eastAsia="Times New Roman" w:hAnsi="Century Gothic" w:cs="Times New Roman"/>
          <w:lang w:eastAsia="pl-PL"/>
        </w:rPr>
        <w:t xml:space="preserve"> Przekazywanie zaleceń </w:t>
      </w:r>
      <w:r w:rsidR="00BD2D77">
        <w:rPr>
          <w:rFonts w:ascii="Century Gothic" w:eastAsia="Times New Roman" w:hAnsi="Century Gothic" w:cs="Times New Roman"/>
          <w:lang w:eastAsia="pl-PL"/>
        </w:rPr>
        <w:t xml:space="preserve">pacjentom </w:t>
      </w:r>
      <w:r w:rsidRPr="00BD2D77">
        <w:rPr>
          <w:rFonts w:ascii="Century Gothic" w:eastAsia="Times New Roman" w:hAnsi="Century Gothic" w:cs="Times New Roman"/>
          <w:lang w:eastAsia="pl-PL"/>
        </w:rPr>
        <w:t>na przyszłość</w:t>
      </w:r>
      <w:r w:rsidR="00BD2D77">
        <w:rPr>
          <w:rFonts w:ascii="Century Gothic" w:eastAsia="Times New Roman" w:hAnsi="Century Gothic" w:cs="Times New Roman"/>
          <w:lang w:eastAsia="pl-PL"/>
        </w:rPr>
        <w:t>, po opuszczeniu Szpitala</w:t>
      </w:r>
      <w:r w:rsidRPr="00BD2D77">
        <w:rPr>
          <w:rFonts w:ascii="Century Gothic" w:eastAsia="Times New Roman" w:hAnsi="Century Gothic" w:cs="Times New Roman"/>
          <w:lang w:eastAsia="pl-PL"/>
        </w:rPr>
        <w:t xml:space="preserve"> jest bardzo skuteczne i stanowi </w:t>
      </w:r>
      <w:r w:rsidRPr="00BD2D77">
        <w:rPr>
          <w:rFonts w:ascii="Century Gothic" w:eastAsia="Times New Roman" w:hAnsi="Century Gothic" w:cs="Times New Roman"/>
          <w:b/>
          <w:bCs/>
          <w:lang w:eastAsia="pl-PL"/>
        </w:rPr>
        <w:t>silny punkt szpitala</w:t>
      </w:r>
      <w:r w:rsidRPr="00BD2D77">
        <w:rPr>
          <w:rFonts w:ascii="Century Gothic" w:eastAsia="Times New Roman" w:hAnsi="Century Gothic" w:cs="Times New Roman"/>
          <w:lang w:eastAsia="pl-PL"/>
        </w:rPr>
        <w:t>.</w:t>
      </w: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285AD0" w:rsidRDefault="00285AD0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BD2D77" w:rsidRDefault="00BD2D7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Pr="00BD2D77" w:rsidRDefault="00D74C67" w:rsidP="00BD2D7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BD2D77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>D01. Jak oceniasz wyżywienie w szpitalu?</w:t>
      </w:r>
    </w:p>
    <w:tbl>
      <w:tblPr>
        <w:tblW w:w="969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1974"/>
        <w:gridCol w:w="4971"/>
      </w:tblGrid>
      <w:tr w:rsidR="009144D7" w:rsidRPr="00D53DAF" w:rsidTr="00BD2D77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9144D7" w:rsidRPr="00BD2D77" w:rsidRDefault="009144D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1944" w:type="dxa"/>
            <w:shd w:val="clear" w:color="auto" w:fill="F2F2F2" w:themeFill="background1" w:themeFillShade="F2"/>
            <w:vAlign w:val="center"/>
            <w:hideMark/>
          </w:tcPr>
          <w:p w:rsidR="009144D7" w:rsidRPr="00BD2D77" w:rsidRDefault="009144D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926" w:type="dxa"/>
            <w:shd w:val="clear" w:color="auto" w:fill="F2F2F2" w:themeFill="background1" w:themeFillShade="F2"/>
            <w:vAlign w:val="center"/>
            <w:hideMark/>
          </w:tcPr>
          <w:p w:rsidR="009144D7" w:rsidRPr="00BD2D77" w:rsidRDefault="009144D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D74C67" w:rsidRPr="00D53DAF" w:rsidTr="00BD2D77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BD2D7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1944" w:type="dxa"/>
            <w:vAlign w:val="center"/>
            <w:hideMark/>
          </w:tcPr>
          <w:p w:rsidR="00A752B1" w:rsidRPr="00BD2D7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61,28%</w:t>
            </w: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BD2D7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(125 przypadków)</w:t>
            </w:r>
          </w:p>
        </w:tc>
        <w:tc>
          <w:tcPr>
            <w:tcW w:w="4926" w:type="dxa"/>
            <w:vAlign w:val="center"/>
            <w:hideMark/>
          </w:tcPr>
          <w:p w:rsidR="00D74C67" w:rsidRPr="00BD2D7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Najniższy odsetek zadowolenia</w:t>
            </w:r>
            <w:r w:rsid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BD2D77" w:rsidRPr="00BD2D77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pl-PL"/>
              </w:rPr>
              <w:t>ze wszystkich pytań</w:t>
            </w:r>
            <w:r w:rsid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(tylko 45,1% ocenia na 10, a 16,18% na 9).</w:t>
            </w:r>
          </w:p>
        </w:tc>
      </w:tr>
      <w:tr w:rsidR="00D74C67" w:rsidRPr="00D53DAF" w:rsidTr="00BD2D77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BD2D7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1944" w:type="dxa"/>
            <w:vAlign w:val="center"/>
            <w:hideMark/>
          </w:tcPr>
          <w:p w:rsidR="00A752B1" w:rsidRPr="00BD2D7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17,65%</w:t>
            </w: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BD2D7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(36 przypadków)</w:t>
            </w:r>
          </w:p>
        </w:tc>
        <w:tc>
          <w:tcPr>
            <w:tcW w:w="4926" w:type="dxa"/>
            <w:vAlign w:val="center"/>
            <w:hideMark/>
          </w:tcPr>
          <w:p w:rsidR="00D74C67" w:rsidRPr="00BD2D7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To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najwyższy odsetek</w:t>
            </w: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ocen obojętnych w całym badaniu (4,41% + 13,24%).</w:t>
            </w:r>
          </w:p>
        </w:tc>
      </w:tr>
      <w:tr w:rsidR="00D74C67" w:rsidRPr="00D53DAF" w:rsidTr="00600640">
        <w:trPr>
          <w:trHeight w:hRule="exact" w:val="71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BD2D7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1944" w:type="dxa"/>
            <w:vAlign w:val="center"/>
            <w:hideMark/>
          </w:tcPr>
          <w:p w:rsidR="00A752B1" w:rsidRPr="00BD2D7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21,08%</w:t>
            </w: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BD2D7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(43 przypadki)</w:t>
            </w:r>
          </w:p>
        </w:tc>
        <w:tc>
          <w:tcPr>
            <w:tcW w:w="4926" w:type="dxa"/>
            <w:vAlign w:val="center"/>
            <w:hideMark/>
          </w:tcPr>
          <w:p w:rsidR="00D74C67" w:rsidRPr="00BD2D77" w:rsidRDefault="00D74C67" w:rsidP="00BD2D77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To najwyższy odsetek </w:t>
            </w:r>
            <w:r w:rsid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ocen </w:t>
            </w:r>
            <w:proofErr w:type="spellStart"/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nie</w:t>
            </w:r>
            <w:r w:rsid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gatywnych</w:t>
            </w:r>
            <w:proofErr w:type="spellEnd"/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(21,08%)</w:t>
            </w: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spośród wszystkich pytań</w:t>
            </w:r>
            <w:r w:rsidR="006366C4"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z ankiety</w:t>
            </w:r>
            <w:r w:rsidRPr="00BD2D7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.</w:t>
            </w:r>
          </w:p>
        </w:tc>
      </w:tr>
    </w:tbl>
    <w:p w:rsidR="00D74C67" w:rsidRDefault="00D74C67" w:rsidP="00D74C67">
      <w:pPr>
        <w:spacing w:before="100" w:beforeAutospacing="1" w:after="100" w:afterAutospacing="1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2B4180">
        <w:rPr>
          <w:rFonts w:ascii="Century Gothic" w:eastAsia="Times New Roman" w:hAnsi="Century Gothic" w:cs="Times New Roman"/>
          <w:b/>
          <w:bCs/>
          <w:noProof/>
          <w:sz w:val="20"/>
          <w:szCs w:val="20"/>
          <w:lang w:eastAsia="pl-PL"/>
        </w:rPr>
        <w:drawing>
          <wp:inline distT="0" distB="0" distL="0" distR="0">
            <wp:extent cx="4320000" cy="2518913"/>
            <wp:effectExtent l="19050" t="0" r="23400" b="0"/>
            <wp:docPr id="10" name="Wykres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D74C67" w:rsidRPr="00BD2D77" w:rsidRDefault="00D74C67" w:rsidP="00D74C67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lang w:eastAsia="pl-PL"/>
        </w:rPr>
      </w:pPr>
      <w:r w:rsidRPr="00BD2D77">
        <w:rPr>
          <w:rFonts w:ascii="Century Gothic" w:eastAsia="Times New Roman" w:hAnsi="Century Gothic" w:cs="Times New Roman"/>
          <w:b/>
          <w:bCs/>
          <w:lang w:eastAsia="pl-PL"/>
        </w:rPr>
        <w:t>Wniosek:</w:t>
      </w:r>
      <w:r w:rsidRPr="00BD2D77">
        <w:rPr>
          <w:rFonts w:ascii="Century Gothic" w:eastAsia="Times New Roman" w:hAnsi="Century Gothic" w:cs="Times New Roman"/>
          <w:lang w:eastAsia="pl-PL"/>
        </w:rPr>
        <w:t xml:space="preserve"> Wyżywienie jest </w:t>
      </w:r>
      <w:r w:rsidRPr="00BD2D77">
        <w:rPr>
          <w:rFonts w:ascii="Century Gothic" w:eastAsia="Times New Roman" w:hAnsi="Century Gothic" w:cs="Times New Roman"/>
          <w:b/>
          <w:bCs/>
          <w:lang w:eastAsia="pl-PL"/>
        </w:rPr>
        <w:t>najsłabszym obszarem</w:t>
      </w:r>
      <w:r w:rsidRPr="00BD2D77">
        <w:rPr>
          <w:rFonts w:ascii="Century Gothic" w:eastAsia="Times New Roman" w:hAnsi="Century Gothic" w:cs="Times New Roman"/>
          <w:lang w:eastAsia="pl-PL"/>
        </w:rPr>
        <w:t xml:space="preserve"> w badaniu. Jest to jedyna kategoria,</w:t>
      </w:r>
      <w:r w:rsidR="009446A9" w:rsidRPr="00BD2D77">
        <w:rPr>
          <w:rFonts w:ascii="Century Gothic" w:eastAsia="Times New Roman" w:hAnsi="Century Gothic" w:cs="Times New Roman"/>
          <w:lang w:eastAsia="pl-PL"/>
        </w:rPr>
        <w:t xml:space="preserve"> </w:t>
      </w:r>
      <w:r w:rsidRPr="00BD2D77">
        <w:rPr>
          <w:rFonts w:ascii="Century Gothic" w:eastAsia="Times New Roman" w:hAnsi="Century Gothic" w:cs="Times New Roman"/>
          <w:lang w:eastAsia="pl-PL"/>
        </w:rPr>
        <w:t>w której niezadowol</w:t>
      </w:r>
      <w:r w:rsidR="009446A9" w:rsidRPr="00BD2D77">
        <w:rPr>
          <w:rFonts w:ascii="Century Gothic" w:eastAsia="Times New Roman" w:hAnsi="Century Gothic" w:cs="Times New Roman"/>
          <w:lang w:eastAsia="pl-PL"/>
        </w:rPr>
        <w:t>onych pacjentów jest ponad 2</w:t>
      </w:r>
      <w:r w:rsidR="00BD2D77">
        <w:rPr>
          <w:rFonts w:ascii="Century Gothic" w:eastAsia="Times New Roman" w:hAnsi="Century Gothic" w:cs="Times New Roman"/>
          <w:lang w:eastAsia="pl-PL"/>
        </w:rPr>
        <w:t xml:space="preserve">0%, </w:t>
      </w:r>
      <w:r w:rsidRPr="00BD2D77">
        <w:rPr>
          <w:rFonts w:ascii="Century Gothic" w:eastAsia="Times New Roman" w:hAnsi="Century Gothic" w:cs="Times New Roman"/>
          <w:lang w:eastAsia="pl-PL"/>
        </w:rPr>
        <w:t>a jednocześnie</w:t>
      </w:r>
      <w:r w:rsidR="00BD2D77">
        <w:rPr>
          <w:rFonts w:ascii="Century Gothic" w:eastAsia="Times New Roman" w:hAnsi="Century Gothic" w:cs="Times New Roman"/>
          <w:lang w:eastAsia="pl-PL"/>
        </w:rPr>
        <w:br/>
      </w:r>
      <w:r w:rsidRPr="00BD2D77">
        <w:rPr>
          <w:rFonts w:ascii="Century Gothic" w:eastAsia="Times New Roman" w:hAnsi="Century Gothic" w:cs="Times New Roman"/>
          <w:lang w:eastAsia="pl-PL"/>
        </w:rPr>
        <w:t>w której pacjenci mają najczęściej postawę neutralną/obojętną, zamiast wyraźnej satysfakcji.</w:t>
      </w: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6116E7" w:rsidRDefault="006116E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285AD0" w:rsidRDefault="00285AD0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Pr="006116E7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6116E7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>D02. Jak oceniasz czy</w:t>
      </w:r>
      <w:r w:rsidR="009446A9" w:rsidRPr="006116E7">
        <w:rPr>
          <w:rFonts w:ascii="Century Gothic" w:eastAsia="Times New Roman" w:hAnsi="Century Gothic" w:cs="Times New Roman"/>
          <w:b/>
          <w:bCs/>
          <w:lang w:eastAsia="pl-PL"/>
        </w:rPr>
        <w:t>stość w salach, na korytarzach,</w:t>
      </w:r>
      <w:r w:rsidR="006116E7">
        <w:rPr>
          <w:rFonts w:ascii="Century Gothic" w:eastAsia="Times New Roman" w:hAnsi="Century Gothic" w:cs="Times New Roman"/>
          <w:b/>
          <w:bCs/>
          <w:lang w:eastAsia="pl-PL"/>
        </w:rPr>
        <w:t xml:space="preserve"> </w:t>
      </w:r>
      <w:r w:rsidRPr="006116E7">
        <w:rPr>
          <w:rFonts w:ascii="Century Gothic" w:eastAsia="Times New Roman" w:hAnsi="Century Gothic" w:cs="Times New Roman"/>
          <w:b/>
          <w:bCs/>
          <w:lang w:eastAsia="pl-PL"/>
        </w:rPr>
        <w:t>w łazienkach?</w:t>
      </w:r>
    </w:p>
    <w:tbl>
      <w:tblPr>
        <w:tblW w:w="936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A752B1" w:rsidRPr="00D53DAF" w:rsidTr="006116E7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A752B1" w:rsidRPr="006116E7" w:rsidRDefault="00A752B1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A752B1" w:rsidRPr="006116E7" w:rsidRDefault="00A752B1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A752B1" w:rsidRPr="006116E7" w:rsidRDefault="00A752B1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D74C67" w:rsidRPr="00D53DAF" w:rsidTr="006116E7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6116E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116E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D74C67" w:rsidRPr="006116E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75,43%</w:t>
            </w:r>
          </w:p>
          <w:p w:rsidR="00D74C67" w:rsidRPr="006116E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(178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6116E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Najwyższy odsetek zadowolenia (75,43%)</w:t>
            </w:r>
            <w:r w:rsidR="006116E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6116E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w całym badaniu.</w:t>
            </w:r>
          </w:p>
        </w:tc>
      </w:tr>
      <w:tr w:rsidR="00D74C67" w:rsidRPr="00D53DAF" w:rsidTr="006116E7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6116E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116E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D74C67" w:rsidRPr="006116E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11,44%</w:t>
            </w:r>
            <w:r w:rsidRPr="006116E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6116E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(27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6116E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Wskaźnik neutralności jest niski (5,08% + 6,36%).</w:t>
            </w:r>
          </w:p>
        </w:tc>
      </w:tr>
      <w:tr w:rsidR="00D74C67" w:rsidRPr="00D53DAF" w:rsidTr="00600640">
        <w:trPr>
          <w:trHeight w:hRule="exact" w:val="71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6116E7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116E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D74C67" w:rsidRPr="006116E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13,13%</w:t>
            </w:r>
            <w:r w:rsidRPr="006116E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6116E7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(31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6116E7" w:rsidRDefault="00D74C67" w:rsidP="00600640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Niezadowolenie jest </w:t>
            </w:r>
            <w:proofErr w:type="spellStart"/>
            <w:r w:rsidRPr="00600640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na</w:t>
            </w:r>
            <w:r w:rsidR="00600640" w:rsidRPr="00600640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najniższym</w:t>
            </w:r>
            <w:proofErr w:type="spellEnd"/>
            <w:r w:rsidRPr="006116E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poziomie (tylko 13,13%</w:t>
            </w:r>
            <w:r w:rsidR="006366C4" w:rsidRPr="006116E7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6366C4"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dla całej ankiety</w:t>
            </w: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).</w:t>
            </w:r>
          </w:p>
        </w:tc>
      </w:tr>
    </w:tbl>
    <w:p w:rsidR="00D74C67" w:rsidRPr="00285AD0" w:rsidRDefault="00D74C67" w:rsidP="00D74C67">
      <w:pPr>
        <w:spacing w:before="100" w:beforeAutospacing="1" w:after="100" w:afterAutospacing="1" w:line="240" w:lineRule="auto"/>
        <w:jc w:val="center"/>
        <w:rPr>
          <w:rFonts w:ascii="Century Gothic" w:eastAsia="Times New Roman" w:hAnsi="Century Gothic" w:cs="Times New Roman"/>
          <w:b/>
          <w:bCs/>
          <w:i/>
          <w:sz w:val="20"/>
          <w:szCs w:val="20"/>
          <w:lang w:eastAsia="pl-PL"/>
        </w:rPr>
      </w:pPr>
      <w:r w:rsidRPr="00285AD0">
        <w:rPr>
          <w:rFonts w:ascii="Century Gothic" w:eastAsia="Times New Roman" w:hAnsi="Century Gothic" w:cs="Times New Roman"/>
          <w:b/>
          <w:bCs/>
          <w:i/>
          <w:noProof/>
          <w:sz w:val="20"/>
          <w:szCs w:val="20"/>
          <w:lang w:eastAsia="pl-PL"/>
        </w:rPr>
        <w:drawing>
          <wp:inline distT="0" distB="0" distL="0" distR="0">
            <wp:extent cx="4320000" cy="2518913"/>
            <wp:effectExtent l="19050" t="0" r="23400" b="0"/>
            <wp:docPr id="11" name="Wykres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D74C67" w:rsidRPr="00672DB8" w:rsidRDefault="00D74C67" w:rsidP="00D74C67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lang w:eastAsia="pl-PL"/>
        </w:rPr>
      </w:pPr>
      <w:r w:rsidRPr="00672DB8">
        <w:rPr>
          <w:rFonts w:ascii="Century Gothic" w:eastAsia="Times New Roman" w:hAnsi="Century Gothic" w:cs="Times New Roman"/>
          <w:b/>
          <w:bCs/>
          <w:lang w:eastAsia="pl-PL"/>
        </w:rPr>
        <w:t>Wniosek:</w:t>
      </w:r>
      <w:r w:rsidRPr="00672DB8">
        <w:rPr>
          <w:rFonts w:ascii="Century Gothic" w:eastAsia="Times New Roman" w:hAnsi="Century Gothic" w:cs="Times New Roman"/>
          <w:lang w:eastAsia="pl-PL"/>
        </w:rPr>
        <w:t xml:space="preserve"> Czystość jest </w:t>
      </w:r>
      <w:r w:rsidRPr="00672DB8">
        <w:rPr>
          <w:rFonts w:ascii="Century Gothic" w:eastAsia="Times New Roman" w:hAnsi="Century Gothic" w:cs="Times New Roman"/>
          <w:b/>
          <w:bCs/>
          <w:lang w:eastAsia="pl-PL"/>
        </w:rPr>
        <w:t>najlepiej ocenianym aspektem</w:t>
      </w:r>
      <w:r w:rsidRPr="00672DB8">
        <w:rPr>
          <w:rFonts w:ascii="Century Gothic" w:eastAsia="Times New Roman" w:hAnsi="Century Gothic" w:cs="Times New Roman"/>
          <w:lang w:eastAsia="pl-PL"/>
        </w:rPr>
        <w:t xml:space="preserve"> szpitala zarówno pod kątem zadowolenia (najwyższy wynik), jak i braku niezadowolenia (najniższy wynik).</w:t>
      </w:r>
    </w:p>
    <w:p w:rsidR="00D74C67" w:rsidRPr="000A1612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600640" w:rsidRDefault="00600640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600640" w:rsidRDefault="00600640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285AD0" w:rsidRDefault="00285AD0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D74C67" w:rsidRPr="00600640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600640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 xml:space="preserve">E01. Jak oceniasz respektowanie przez personel medyczny praw pacjenta, </w:t>
      </w:r>
      <w:r w:rsidR="00600640">
        <w:rPr>
          <w:rFonts w:ascii="Century Gothic" w:eastAsia="Times New Roman" w:hAnsi="Century Gothic" w:cs="Times New Roman"/>
          <w:b/>
          <w:bCs/>
          <w:lang w:eastAsia="pl-PL"/>
        </w:rPr>
        <w:br/>
        <w:t xml:space="preserve">        </w:t>
      </w:r>
      <w:r w:rsidRPr="00600640">
        <w:rPr>
          <w:rFonts w:ascii="Century Gothic" w:eastAsia="Times New Roman" w:hAnsi="Century Gothic" w:cs="Times New Roman"/>
          <w:b/>
          <w:bCs/>
          <w:lang w:eastAsia="pl-PL"/>
        </w:rPr>
        <w:t>szczególnych uprawnień i potrzeb?</w:t>
      </w:r>
    </w:p>
    <w:tbl>
      <w:tblPr>
        <w:tblW w:w="936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A752B1" w:rsidRPr="00600640" w:rsidTr="00600640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A752B1" w:rsidRPr="00600640" w:rsidRDefault="00A752B1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A752B1" w:rsidRPr="00600640" w:rsidRDefault="00A752B1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A752B1" w:rsidRPr="00600640" w:rsidRDefault="00A752B1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D74C67" w:rsidRPr="00D53DAF" w:rsidTr="00600640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75,22%</w:t>
            </w: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600640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(176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Bardzo wysoki poziom zadowolenia (61,54% ocenia na 10, </w:t>
            </w:r>
            <w:r w:rsid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i </w:t>
            </w: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13,68% na 9).</w:t>
            </w:r>
          </w:p>
        </w:tc>
      </w:tr>
      <w:tr w:rsidR="00D74C67" w:rsidRPr="00D53DAF" w:rsidTr="00600640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7,26%</w:t>
            </w: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600640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(17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Oceny neutralne są na bardzo niskim poziomie.</w:t>
            </w:r>
          </w:p>
        </w:tc>
      </w:tr>
      <w:tr w:rsidR="00D74C67" w:rsidRPr="00D53DAF" w:rsidTr="00600640">
        <w:trPr>
          <w:trHeight w:hRule="exact" w:val="949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17,52%</w:t>
            </w: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600640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(41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Niemal c</w:t>
            </w:r>
            <w:r w:rsid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 piąty pacjent (17,52%) uważa,</w:t>
            </w:r>
            <w:r w:rsid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że jego prawa nie są respektowane.</w:t>
            </w:r>
          </w:p>
        </w:tc>
      </w:tr>
    </w:tbl>
    <w:p w:rsidR="00D74C67" w:rsidRDefault="00D74C67" w:rsidP="00D74C67">
      <w:pPr>
        <w:spacing w:before="100" w:beforeAutospacing="1" w:after="100" w:afterAutospacing="1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FD090C">
        <w:rPr>
          <w:rFonts w:ascii="Century Gothic" w:eastAsia="Times New Roman" w:hAnsi="Century Gothic" w:cs="Times New Roman"/>
          <w:b/>
          <w:bCs/>
          <w:noProof/>
          <w:sz w:val="20"/>
          <w:szCs w:val="20"/>
          <w:lang w:eastAsia="pl-PL"/>
        </w:rPr>
        <w:drawing>
          <wp:inline distT="0" distB="0" distL="0" distR="0">
            <wp:extent cx="4320000" cy="2518913"/>
            <wp:effectExtent l="19050" t="0" r="23400" b="0"/>
            <wp:docPr id="12" name="Wykres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D74C67" w:rsidRPr="00600640" w:rsidRDefault="00D74C67" w:rsidP="00D74C67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lang w:eastAsia="pl-PL"/>
        </w:rPr>
      </w:pPr>
      <w:r w:rsidRPr="00600640">
        <w:rPr>
          <w:rFonts w:ascii="Century Gothic" w:eastAsia="Times New Roman" w:hAnsi="Century Gothic" w:cs="Times New Roman"/>
          <w:b/>
          <w:bCs/>
          <w:lang w:eastAsia="pl-PL"/>
        </w:rPr>
        <w:t>Wniosek:</w:t>
      </w:r>
      <w:r w:rsidRPr="00600640">
        <w:rPr>
          <w:rFonts w:ascii="Century Gothic" w:eastAsia="Times New Roman" w:hAnsi="Century Gothic" w:cs="Times New Roman"/>
          <w:lang w:eastAsia="pl-PL"/>
        </w:rPr>
        <w:t xml:space="preserve"> Mimo że większość pacjentów czuje, że ich prawa są szanowane (75,22%), poziom niezadowolenia jest wysoki (17,52%), co w kwestii praw pacjenta jest niepokojącym sygnałem.</w:t>
      </w:r>
    </w:p>
    <w:p w:rsidR="00D74C67" w:rsidRDefault="00D74C67" w:rsidP="00D74C67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600640" w:rsidRDefault="00600640" w:rsidP="00D74C67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285AD0" w:rsidRDefault="00285AD0" w:rsidP="00D74C67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Pr="00600640" w:rsidRDefault="00D74C67" w:rsidP="00D74C67">
      <w:pPr>
        <w:spacing w:after="12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600640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 xml:space="preserve">F01. Jakie jest prawdopodobieństwo, że polecisz ten szpital znajomym lub rodzinie? </w:t>
      </w:r>
    </w:p>
    <w:tbl>
      <w:tblPr>
        <w:tblW w:w="936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342809" w:rsidRPr="00D53DAF" w:rsidTr="00600640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342809" w:rsidRPr="00600640" w:rsidRDefault="00342809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342809" w:rsidRPr="00600640" w:rsidRDefault="00342809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342809" w:rsidRPr="00600640" w:rsidRDefault="00342809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D74C67" w:rsidRPr="00D53DAF" w:rsidTr="00600640">
        <w:trPr>
          <w:trHeight w:hRule="exact" w:val="1153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72,34%</w:t>
            </w: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600640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(170 przypadków)</w:t>
            </w:r>
          </w:p>
        </w:tc>
        <w:tc>
          <w:tcPr>
            <w:tcW w:w="4536" w:type="dxa"/>
            <w:vAlign w:val="center"/>
            <w:hideMark/>
          </w:tcPr>
          <w:p w:rsidR="00D74C67" w:rsidRPr="00600640" w:rsidRDefault="00600640" w:rsidP="00600640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</w:t>
            </w:r>
            <w:r w:rsidR="00D74C67"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dsetek zadowolenia dotyczy chęci polecenia szpital</w:t>
            </w:r>
            <w:r w:rsidR="00F559DD"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a 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– skłania się do tego 72,34% pacjentów(66,38% to ocena 10,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  <w:t>a 5,</w:t>
            </w:r>
            <w:r w:rsidR="00F559DD"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96% to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D74C67"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ocena 9).</w:t>
            </w:r>
          </w:p>
        </w:tc>
      </w:tr>
      <w:tr w:rsidR="00D74C67" w:rsidRPr="00D53DAF" w:rsidTr="00600640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600640" w:rsidRDefault="00D74C67" w:rsidP="00F559D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="00F559DD" w:rsidRPr="0060064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 xml:space="preserve">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(7-8)</w:t>
            </w:r>
          </w:p>
        </w:tc>
        <w:tc>
          <w:tcPr>
            <w:tcW w:w="2002" w:type="dxa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9,79%</w:t>
            </w: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600640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(23 przypadki)</w:t>
            </w:r>
          </w:p>
        </w:tc>
        <w:tc>
          <w:tcPr>
            <w:tcW w:w="4536" w:type="dxa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Wskaźnik neutralności jest niski.</w:t>
            </w:r>
          </w:p>
        </w:tc>
      </w:tr>
      <w:tr w:rsidR="00D74C67" w:rsidRPr="00D53DAF" w:rsidTr="00600640">
        <w:trPr>
          <w:trHeight w:hRule="exact" w:val="1023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17,87%</w:t>
            </w: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  <w:p w:rsidR="00D74C67" w:rsidRPr="00600640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(42 przypadki)</w:t>
            </w:r>
          </w:p>
        </w:tc>
        <w:tc>
          <w:tcPr>
            <w:tcW w:w="4536" w:type="dxa"/>
            <w:vAlign w:val="center"/>
            <w:hideMark/>
          </w:tcPr>
          <w:p w:rsidR="00D74C67" w:rsidRPr="00600640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17,87% pacjentów jest skłonnych zdecydowanie nie polecać szpitala lub wyraża niską skłonność do rekomendacji.</w:t>
            </w:r>
          </w:p>
        </w:tc>
      </w:tr>
    </w:tbl>
    <w:p w:rsidR="00D74C67" w:rsidRDefault="00D74C67" w:rsidP="00D74C67">
      <w:pPr>
        <w:spacing w:before="100" w:beforeAutospacing="1" w:after="100" w:afterAutospacing="1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576971">
        <w:rPr>
          <w:rFonts w:ascii="Century Gothic" w:eastAsia="Times New Roman" w:hAnsi="Century Gothic" w:cs="Times New Roman"/>
          <w:b/>
          <w:bCs/>
          <w:noProof/>
          <w:sz w:val="20"/>
          <w:szCs w:val="20"/>
          <w:lang w:eastAsia="pl-PL"/>
        </w:rPr>
        <w:drawing>
          <wp:inline distT="0" distB="0" distL="0" distR="0">
            <wp:extent cx="4320000" cy="2518913"/>
            <wp:effectExtent l="19050" t="0" r="23400" b="0"/>
            <wp:docPr id="13" name="Wykres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D74C67" w:rsidRPr="00600640" w:rsidRDefault="00D74C67" w:rsidP="002C5494">
      <w:pPr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lang w:eastAsia="pl-PL"/>
        </w:rPr>
      </w:pPr>
      <w:r w:rsidRPr="00600640">
        <w:rPr>
          <w:rFonts w:ascii="Century Gothic" w:eastAsia="Times New Roman" w:hAnsi="Century Gothic" w:cs="Times New Roman"/>
          <w:b/>
          <w:bCs/>
          <w:lang w:eastAsia="pl-PL"/>
        </w:rPr>
        <w:t>Wniosek:</w:t>
      </w:r>
      <w:r w:rsidRPr="00600640">
        <w:rPr>
          <w:rFonts w:ascii="Century Gothic" w:eastAsia="Times New Roman" w:hAnsi="Century Gothic" w:cs="Times New Roman"/>
          <w:lang w:eastAsia="pl-PL"/>
        </w:rPr>
        <w:t xml:space="preserve"> Ogólny wskaźnik lojalności jest silny</w:t>
      </w:r>
      <w:r w:rsidR="00600640">
        <w:rPr>
          <w:rFonts w:ascii="Century Gothic" w:eastAsia="Times New Roman" w:hAnsi="Century Gothic" w:cs="Times New Roman"/>
          <w:lang w:eastAsia="pl-PL"/>
        </w:rPr>
        <w:t xml:space="preserve"> – 72,34</w:t>
      </w:r>
      <w:r w:rsidR="002C5494">
        <w:rPr>
          <w:rFonts w:ascii="Century Gothic" w:eastAsia="Times New Roman" w:hAnsi="Century Gothic" w:cs="Times New Roman"/>
          <w:lang w:eastAsia="pl-PL"/>
        </w:rPr>
        <w:t>%</w:t>
      </w:r>
      <w:r w:rsidRPr="00600640">
        <w:rPr>
          <w:rFonts w:ascii="Century Gothic" w:eastAsia="Times New Roman" w:hAnsi="Century Gothic" w:cs="Times New Roman"/>
          <w:lang w:eastAsia="pl-PL"/>
        </w:rPr>
        <w:t>, ale prawie 18% pacjentów nie polecałoby szpitala, co świadczy o głębokich negatywny</w:t>
      </w:r>
      <w:r w:rsidR="002C5494">
        <w:rPr>
          <w:rFonts w:ascii="Century Gothic" w:eastAsia="Times New Roman" w:hAnsi="Century Gothic" w:cs="Times New Roman"/>
          <w:lang w:eastAsia="pl-PL"/>
        </w:rPr>
        <w:t>ch doświadczeniach w tej grupie (blisko 1/5 ankietowanych pacjentów).</w:t>
      </w:r>
    </w:p>
    <w:p w:rsidR="00D74C67" w:rsidRDefault="00D74C67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285AD0" w:rsidRDefault="00285AD0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285AD0" w:rsidRDefault="00285AD0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285AD0" w:rsidRDefault="00285AD0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600640" w:rsidRDefault="00600640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600640" w:rsidRDefault="00600640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600640" w:rsidRDefault="00600640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600640" w:rsidRDefault="00600640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Default="00D74C67" w:rsidP="00D74C67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74C67" w:rsidRPr="002C5494" w:rsidRDefault="002C5494" w:rsidP="002C5494">
      <w:pPr>
        <w:spacing w:after="120" w:line="240" w:lineRule="auto"/>
        <w:outlineLvl w:val="1"/>
        <w:rPr>
          <w:rFonts w:ascii="Century Gothic" w:eastAsia="Times New Roman" w:hAnsi="Century Gothic" w:cs="Times New Roman"/>
          <w:b/>
          <w:bCs/>
          <w:smallCaps/>
          <w:sz w:val="24"/>
          <w:szCs w:val="24"/>
          <w:lang w:eastAsia="pl-PL"/>
        </w:rPr>
      </w:pPr>
      <w:r>
        <w:rPr>
          <w:rFonts w:ascii="Century Gothic" w:eastAsia="Times New Roman" w:hAnsi="Century Gothic" w:cs="Times New Roman"/>
          <w:b/>
          <w:bCs/>
          <w:smallCaps/>
          <w:sz w:val="24"/>
          <w:szCs w:val="24"/>
          <w:lang w:eastAsia="pl-PL"/>
        </w:rPr>
        <w:lastRenderedPageBreak/>
        <w:t xml:space="preserve">III. </w:t>
      </w:r>
      <w:r w:rsidR="00D74C67" w:rsidRPr="002C5494">
        <w:rPr>
          <w:rFonts w:ascii="Century Gothic" w:eastAsia="Times New Roman" w:hAnsi="Century Gothic" w:cs="Times New Roman"/>
          <w:b/>
          <w:bCs/>
          <w:smallCaps/>
          <w:sz w:val="24"/>
          <w:szCs w:val="24"/>
          <w:lang w:eastAsia="pl-PL"/>
        </w:rPr>
        <w:t>Wnioski i obszary doskonalenia</w:t>
      </w:r>
    </w:p>
    <w:p w:rsidR="00D74C67" w:rsidRPr="002C5494" w:rsidRDefault="00D74C67" w:rsidP="00D74C67">
      <w:pPr>
        <w:spacing w:after="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2C5494">
        <w:rPr>
          <w:rFonts w:ascii="Century Gothic" w:eastAsia="Times New Roman" w:hAnsi="Century Gothic" w:cs="Times New Roman"/>
          <w:b/>
          <w:bCs/>
          <w:lang w:eastAsia="pl-PL"/>
        </w:rPr>
        <w:t>A. Obszary ocenione jako Z</w:t>
      </w:r>
      <w:r w:rsidR="00560C0A">
        <w:rPr>
          <w:rFonts w:ascii="Century Gothic" w:eastAsia="Times New Roman" w:hAnsi="Century Gothic" w:cs="Times New Roman"/>
          <w:b/>
          <w:bCs/>
          <w:lang w:eastAsia="pl-PL"/>
        </w:rPr>
        <w:t>ŁE</w:t>
      </w:r>
      <w:r w:rsidR="009446A9" w:rsidRPr="002C5494">
        <w:rPr>
          <w:rFonts w:ascii="Century Gothic" w:eastAsia="Times New Roman" w:hAnsi="Century Gothic" w:cs="Times New Roman"/>
          <w:b/>
          <w:bCs/>
          <w:lang w:eastAsia="pl-PL"/>
        </w:rPr>
        <w:t xml:space="preserve"> (w</w:t>
      </w:r>
      <w:r w:rsidRPr="002C5494">
        <w:rPr>
          <w:rFonts w:ascii="Century Gothic" w:eastAsia="Times New Roman" w:hAnsi="Century Gothic" w:cs="Times New Roman"/>
          <w:b/>
          <w:bCs/>
          <w:lang w:eastAsia="pl-PL"/>
        </w:rPr>
        <w:t xml:space="preserve">ymagające </w:t>
      </w:r>
      <w:r w:rsidR="009446A9" w:rsidRPr="002C5494">
        <w:rPr>
          <w:rFonts w:ascii="Century Gothic" w:eastAsia="Times New Roman" w:hAnsi="Century Gothic" w:cs="Times New Roman"/>
          <w:b/>
          <w:bCs/>
          <w:lang w:eastAsia="pl-PL"/>
        </w:rPr>
        <w:t xml:space="preserve"> </w:t>
      </w:r>
      <w:r w:rsidRPr="002C5494">
        <w:rPr>
          <w:rFonts w:ascii="Century Gothic" w:eastAsia="Times New Roman" w:hAnsi="Century Gothic" w:cs="Times New Roman"/>
          <w:b/>
          <w:bCs/>
          <w:lang w:eastAsia="pl-PL"/>
        </w:rPr>
        <w:t xml:space="preserve">pilnej </w:t>
      </w:r>
      <w:r w:rsidR="009446A9" w:rsidRPr="002C5494">
        <w:rPr>
          <w:rFonts w:ascii="Century Gothic" w:eastAsia="Times New Roman" w:hAnsi="Century Gothic" w:cs="Times New Roman"/>
          <w:b/>
          <w:bCs/>
          <w:lang w:eastAsia="pl-PL"/>
        </w:rPr>
        <w:t xml:space="preserve"> </w:t>
      </w:r>
      <w:r w:rsidRPr="002C5494">
        <w:rPr>
          <w:rFonts w:ascii="Century Gothic" w:eastAsia="Times New Roman" w:hAnsi="Century Gothic" w:cs="Times New Roman"/>
          <w:b/>
          <w:bCs/>
          <w:lang w:eastAsia="pl-PL"/>
        </w:rPr>
        <w:t>interwencji)</w:t>
      </w:r>
    </w:p>
    <w:p w:rsidR="00D74C67" w:rsidRPr="002C5494" w:rsidRDefault="00D74C67" w:rsidP="002C5494">
      <w:pPr>
        <w:spacing w:before="120" w:after="240"/>
        <w:jc w:val="both"/>
        <w:rPr>
          <w:rFonts w:ascii="Century Gothic" w:eastAsia="Times New Roman" w:hAnsi="Century Gothic" w:cs="Times New Roman"/>
          <w:lang w:eastAsia="pl-PL"/>
        </w:rPr>
      </w:pPr>
      <w:r w:rsidRPr="002C5494">
        <w:rPr>
          <w:rFonts w:ascii="Century Gothic" w:eastAsia="Times New Roman" w:hAnsi="Century Gothic" w:cs="Times New Roman"/>
          <w:lang w:eastAsia="pl-PL"/>
        </w:rPr>
        <w:t>Obszary te zebrały największy skumulowany odsetek ocen negatywnych</w:t>
      </w:r>
      <w:r w:rsidR="009446A9" w:rsidRPr="002C5494">
        <w:rPr>
          <w:rFonts w:ascii="Century Gothic" w:eastAsia="Times New Roman" w:hAnsi="Century Gothic" w:cs="Times New Roman"/>
          <w:lang w:eastAsia="pl-PL"/>
        </w:rPr>
        <w:br/>
      </w:r>
      <w:r w:rsidRPr="002C5494">
        <w:rPr>
          <w:rFonts w:ascii="Century Gothic" w:eastAsia="Times New Roman" w:hAnsi="Century Gothic" w:cs="Times New Roman"/>
          <w:lang w:eastAsia="pl-PL"/>
        </w:rPr>
        <w:t>(0–6), wskazując na najpoważniejsze proble</w:t>
      </w:r>
      <w:r w:rsidR="009446A9" w:rsidRPr="002C5494">
        <w:rPr>
          <w:rFonts w:ascii="Century Gothic" w:eastAsia="Times New Roman" w:hAnsi="Century Gothic" w:cs="Times New Roman"/>
          <w:lang w:eastAsia="pl-PL"/>
        </w:rPr>
        <w:t>my w jakości świadczonych usług</w:t>
      </w:r>
      <w:r w:rsidR="009446A9" w:rsidRPr="002C5494">
        <w:rPr>
          <w:rFonts w:ascii="Century Gothic" w:eastAsia="Times New Roman" w:hAnsi="Century Gothic" w:cs="Times New Roman"/>
          <w:lang w:eastAsia="pl-PL"/>
        </w:rPr>
        <w:br/>
      </w:r>
      <w:r w:rsidRPr="002C5494">
        <w:rPr>
          <w:rFonts w:ascii="Century Gothic" w:eastAsia="Times New Roman" w:hAnsi="Century Gothic" w:cs="Times New Roman"/>
          <w:lang w:eastAsia="pl-PL"/>
        </w:rPr>
        <w:t>i doświadczeniu pacjenta.</w:t>
      </w:r>
    </w:p>
    <w:tbl>
      <w:tblPr>
        <w:tblW w:w="941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23"/>
        <w:gridCol w:w="1891"/>
        <w:gridCol w:w="5197"/>
      </w:tblGrid>
      <w:tr w:rsidR="00D74C67" w:rsidRPr="00D53DAF" w:rsidTr="0042143A">
        <w:trPr>
          <w:trHeight w:val="567"/>
          <w:tblCellSpacing w:w="15" w:type="dxa"/>
        </w:trPr>
        <w:tc>
          <w:tcPr>
            <w:tcW w:w="2278" w:type="dxa"/>
            <w:shd w:val="clear" w:color="auto" w:fill="F2F2F2" w:themeFill="background1" w:themeFillShade="F2"/>
            <w:vAlign w:val="center"/>
            <w:hideMark/>
          </w:tcPr>
          <w:p w:rsidR="00D74C67" w:rsidRPr="0042143A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Aspekt</w:t>
            </w:r>
          </w:p>
        </w:tc>
        <w:tc>
          <w:tcPr>
            <w:tcW w:w="1861" w:type="dxa"/>
            <w:shd w:val="clear" w:color="auto" w:fill="F2F2F2" w:themeFill="background1" w:themeFillShade="F2"/>
            <w:vAlign w:val="center"/>
            <w:hideMark/>
          </w:tcPr>
          <w:p w:rsidR="00D74C67" w:rsidRPr="0042143A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Odsetek ocen 0-6</w:t>
            </w:r>
            <w:r w:rsidRP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br/>
              <w:t>obszar Z</w:t>
            </w:r>
            <w:r w:rsid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ŁY</w:t>
            </w:r>
          </w:p>
        </w:tc>
        <w:tc>
          <w:tcPr>
            <w:tcW w:w="5152" w:type="dxa"/>
            <w:shd w:val="clear" w:color="auto" w:fill="F2F2F2" w:themeFill="background1" w:themeFillShade="F2"/>
            <w:vAlign w:val="center"/>
            <w:hideMark/>
          </w:tcPr>
          <w:p w:rsidR="00D74C67" w:rsidRPr="0042143A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Kluczowe działanie</w:t>
            </w:r>
          </w:p>
        </w:tc>
      </w:tr>
      <w:tr w:rsidR="00D74C67" w:rsidRPr="00D53DAF" w:rsidTr="0042143A">
        <w:trPr>
          <w:trHeight w:hRule="exact" w:val="1247"/>
          <w:tblCellSpacing w:w="15" w:type="dxa"/>
        </w:trPr>
        <w:tc>
          <w:tcPr>
            <w:tcW w:w="2278" w:type="dxa"/>
            <w:shd w:val="clear" w:color="auto" w:fill="auto"/>
            <w:vAlign w:val="center"/>
            <w:hideMark/>
          </w:tcPr>
          <w:p w:rsidR="00D74C67" w:rsidRPr="00695BD5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D01. Wyżywienie</w:t>
            </w:r>
          </w:p>
        </w:tc>
        <w:tc>
          <w:tcPr>
            <w:tcW w:w="1861" w:type="dxa"/>
            <w:vAlign w:val="center"/>
            <w:hideMark/>
          </w:tcPr>
          <w:p w:rsidR="00D74C67" w:rsidRPr="00695BD5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21,08%</w:t>
            </w:r>
          </w:p>
        </w:tc>
        <w:tc>
          <w:tcPr>
            <w:tcW w:w="5152" w:type="dxa"/>
            <w:vAlign w:val="center"/>
            <w:hideMark/>
          </w:tcPr>
          <w:p w:rsidR="00D74C67" w:rsidRPr="00695BD5" w:rsidRDefault="00D74C67" w:rsidP="00695BD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Najpilniejsza  interwencja: </w:t>
            </w:r>
            <w:r w:rsidR="00695BD5"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Jest to jedyna kategoria, w której niezadowolonych pacjentów jest ponad 20%.</w:t>
            </w:r>
            <w:r w:rsid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Wymaga 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opraw</w:t>
            </w:r>
            <w:r w:rsid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y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jakości, smaku i/lub zróżnicowania posiłków. </w:t>
            </w:r>
          </w:p>
        </w:tc>
      </w:tr>
      <w:tr w:rsidR="00D74C67" w:rsidRPr="00D53DAF" w:rsidTr="0042143A">
        <w:trPr>
          <w:trHeight w:hRule="exact" w:val="1531"/>
          <w:tblCellSpacing w:w="15" w:type="dxa"/>
        </w:trPr>
        <w:tc>
          <w:tcPr>
            <w:tcW w:w="2278" w:type="dxa"/>
            <w:shd w:val="clear" w:color="auto" w:fill="auto"/>
            <w:vAlign w:val="center"/>
            <w:hideMark/>
          </w:tcPr>
          <w:p w:rsidR="00D74C67" w:rsidRPr="00695BD5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B01. Uwzględnianie </w:t>
            </w: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zdania </w:t>
            </w:r>
            <w:r w:rsidR="00F559DD"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</w:t>
            </w: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Pacjenta</w:t>
            </w:r>
          </w:p>
        </w:tc>
        <w:tc>
          <w:tcPr>
            <w:tcW w:w="1861" w:type="dxa"/>
            <w:vAlign w:val="center"/>
            <w:hideMark/>
          </w:tcPr>
          <w:p w:rsidR="00D74C67" w:rsidRPr="00695BD5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19,75%</w:t>
            </w:r>
          </w:p>
        </w:tc>
        <w:tc>
          <w:tcPr>
            <w:tcW w:w="5152" w:type="dxa"/>
            <w:vAlign w:val="center"/>
            <w:hideMark/>
          </w:tcPr>
          <w:p w:rsidR="00D74C67" w:rsidRPr="00695BD5" w:rsidRDefault="00D74C67" w:rsidP="00695BD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Wzmacnianie komunikacji: </w:t>
            </w:r>
            <w:r w:rsidR="00695BD5"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Prawie </w:t>
            </w:r>
            <w:r w:rsid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co piąty pacjent</w:t>
            </w:r>
            <w:r w:rsidR="00695BD5"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uważa, że ich zdanie nie jest wystarczająco uwzględniane.</w:t>
            </w:r>
            <w:r w:rsid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Wskazuje to na potrzebę pilnych  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szkole</w:t>
            </w:r>
            <w:r w:rsid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ń 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dla personelu medycznego z zakresu aktywnego słuchania</w:t>
            </w:r>
            <w:r w:rsidR="00F559DD"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i włączania pacjenta w proces decyzyjny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. </w:t>
            </w:r>
          </w:p>
        </w:tc>
      </w:tr>
      <w:tr w:rsidR="00D74C67" w:rsidRPr="00D53DAF" w:rsidTr="0042143A">
        <w:trPr>
          <w:trHeight w:hRule="exact" w:val="1531"/>
          <w:tblCellSpacing w:w="15" w:type="dxa"/>
        </w:trPr>
        <w:tc>
          <w:tcPr>
            <w:tcW w:w="2278" w:type="dxa"/>
            <w:shd w:val="clear" w:color="auto" w:fill="auto"/>
            <w:vAlign w:val="center"/>
            <w:hideMark/>
          </w:tcPr>
          <w:p w:rsidR="00D74C67" w:rsidRPr="00695BD5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A01. Sprawność </w:t>
            </w: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procesu </w:t>
            </w:r>
            <w:r w:rsidR="00F559DD"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</w:t>
            </w: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przyjęcia </w:t>
            </w: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do Szpitala</w:t>
            </w:r>
          </w:p>
        </w:tc>
        <w:tc>
          <w:tcPr>
            <w:tcW w:w="1861" w:type="dxa"/>
            <w:vAlign w:val="center"/>
            <w:hideMark/>
          </w:tcPr>
          <w:p w:rsidR="00D74C67" w:rsidRPr="00695BD5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18,75%</w:t>
            </w:r>
          </w:p>
        </w:tc>
        <w:tc>
          <w:tcPr>
            <w:tcW w:w="5152" w:type="dxa"/>
            <w:vAlign w:val="center"/>
            <w:hideMark/>
          </w:tcPr>
          <w:p w:rsidR="00D74C67" w:rsidRPr="00695BD5" w:rsidRDefault="00D74C67" w:rsidP="005A3430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Optymalizacja logistyki: </w:t>
            </w:r>
            <w:r w:rsidR="005A3430"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Niemal co piąty pacjent (18,75%) jest niezadowolony z </w:t>
            </w:r>
            <w:r w:rsidR="005A343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pierwszego kontaktu. Należy </w:t>
            </w:r>
            <w:r w:rsidR="005A3430"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5A343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z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reduk</w:t>
            </w:r>
            <w:r w:rsidR="005A343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ować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czas oczekiwania</w:t>
            </w:r>
            <w:r w:rsidR="00F559DD"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i usprawni</w:t>
            </w:r>
            <w:r w:rsidR="005A343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ć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procedur</w:t>
            </w:r>
            <w:r w:rsidR="005A343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y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przyjmowania</w:t>
            </w:r>
            <w:r w:rsidR="005A343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pacjentów so Szpitala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, aby zminimalizować </w:t>
            </w:r>
            <w:r w:rsidR="005A343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ich 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frustrację</w:t>
            </w:r>
            <w:r w:rsidR="005A343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.</w:t>
            </w:r>
          </w:p>
        </w:tc>
      </w:tr>
      <w:tr w:rsidR="00695BD5" w:rsidRPr="00D53DAF" w:rsidTr="0042143A">
        <w:trPr>
          <w:trHeight w:hRule="exact" w:val="1473"/>
          <w:tblCellSpacing w:w="15" w:type="dxa"/>
        </w:trPr>
        <w:tc>
          <w:tcPr>
            <w:tcW w:w="2278" w:type="dxa"/>
            <w:shd w:val="clear" w:color="auto" w:fill="auto"/>
            <w:vAlign w:val="center"/>
            <w:hideMark/>
          </w:tcPr>
          <w:p w:rsidR="00695BD5" w:rsidRPr="00695BD5" w:rsidRDefault="00695BD5" w:rsidP="00695BD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C01. Zrozumiałość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</w:t>
            </w: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info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rmacji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</w:t>
            </w: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o zdrowiu</w:t>
            </w:r>
          </w:p>
        </w:tc>
        <w:tc>
          <w:tcPr>
            <w:tcW w:w="1861" w:type="dxa"/>
            <w:vAlign w:val="center"/>
            <w:hideMark/>
          </w:tcPr>
          <w:p w:rsidR="00695BD5" w:rsidRPr="00695BD5" w:rsidRDefault="00695BD5" w:rsidP="00695BD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17,98%</w:t>
            </w:r>
          </w:p>
        </w:tc>
        <w:tc>
          <w:tcPr>
            <w:tcW w:w="5152" w:type="dxa"/>
            <w:vAlign w:val="center"/>
            <w:hideMark/>
          </w:tcPr>
          <w:p w:rsidR="00695BD5" w:rsidRPr="00695BD5" w:rsidRDefault="00695BD5" w:rsidP="00695BD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Poprawa komunikacji bieżącej: Wskaźnik bliski 18% świadczy o tym, że personel nie zawsze efektywnie przekazuje informacje o stanie zdrowia podczas pobytu, co wymaga standaryzacji rozmów.</w:t>
            </w:r>
          </w:p>
        </w:tc>
      </w:tr>
      <w:tr w:rsidR="00695BD5" w:rsidRPr="00D53DAF" w:rsidTr="0042143A">
        <w:trPr>
          <w:trHeight w:hRule="exact" w:val="1793"/>
          <w:tblCellSpacing w:w="15" w:type="dxa"/>
        </w:trPr>
        <w:tc>
          <w:tcPr>
            <w:tcW w:w="2278" w:type="dxa"/>
            <w:shd w:val="clear" w:color="auto" w:fill="auto"/>
            <w:vAlign w:val="center"/>
            <w:hideMark/>
          </w:tcPr>
          <w:p w:rsidR="00695BD5" w:rsidRDefault="00695BD5" w:rsidP="00695BD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B02. Opieka/</w:t>
            </w:r>
          </w:p>
          <w:p w:rsidR="00695BD5" w:rsidRPr="00695BD5" w:rsidRDefault="00695BD5" w:rsidP="00695BD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       </w:t>
            </w: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Zaangażowanie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</w:t>
            </w: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personelu</w:t>
            </w:r>
          </w:p>
        </w:tc>
        <w:tc>
          <w:tcPr>
            <w:tcW w:w="1861" w:type="dxa"/>
            <w:vAlign w:val="center"/>
            <w:hideMark/>
          </w:tcPr>
          <w:p w:rsidR="00695BD5" w:rsidRPr="00695BD5" w:rsidRDefault="00695BD5" w:rsidP="00695BD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17,96%</w:t>
            </w:r>
          </w:p>
        </w:tc>
        <w:tc>
          <w:tcPr>
            <w:tcW w:w="5152" w:type="dxa"/>
            <w:vAlign w:val="center"/>
            <w:hideMark/>
          </w:tcPr>
          <w:p w:rsidR="00695BD5" w:rsidRPr="00695BD5" w:rsidRDefault="00695BD5" w:rsidP="00695BD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Wahania jakości: Pomimo wysokiego zadowolenia ogólnego (73,06% pozytywnych), wysoki wskaźnik niez</w:t>
            </w:r>
            <w:r w:rsidR="005A343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adowolenia (17,96%) oznacza, że</w:t>
            </w:r>
            <w:r w:rsidR="005A343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w konkretnych jednostkach dochodzi do poważnych zaniedbań opiekuńczych i braku zaangażowania</w:t>
            </w:r>
            <w:r w:rsidR="005A343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personelu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.</w:t>
            </w:r>
          </w:p>
        </w:tc>
      </w:tr>
      <w:tr w:rsidR="00695BD5" w:rsidRPr="00D53DAF" w:rsidTr="0042143A">
        <w:trPr>
          <w:trHeight w:hRule="exact" w:val="1531"/>
          <w:tblCellSpacing w:w="15" w:type="dxa"/>
        </w:trPr>
        <w:tc>
          <w:tcPr>
            <w:tcW w:w="2278" w:type="dxa"/>
            <w:shd w:val="clear" w:color="auto" w:fill="auto"/>
            <w:vAlign w:val="center"/>
            <w:hideMark/>
          </w:tcPr>
          <w:p w:rsidR="00695BD5" w:rsidRPr="00695BD5" w:rsidRDefault="00695BD5" w:rsidP="005A3430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F01. Rekomendacja </w:t>
            </w: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Szpitala </w:t>
            </w:r>
          </w:p>
        </w:tc>
        <w:tc>
          <w:tcPr>
            <w:tcW w:w="1861" w:type="dxa"/>
            <w:vAlign w:val="center"/>
            <w:hideMark/>
          </w:tcPr>
          <w:p w:rsidR="00695BD5" w:rsidRPr="00695BD5" w:rsidRDefault="00695BD5" w:rsidP="0008445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17,87%</w:t>
            </w:r>
          </w:p>
        </w:tc>
        <w:tc>
          <w:tcPr>
            <w:tcW w:w="5152" w:type="dxa"/>
            <w:vAlign w:val="center"/>
            <w:hideMark/>
          </w:tcPr>
          <w:p w:rsidR="00695BD5" w:rsidRPr="00695BD5" w:rsidRDefault="00695BD5" w:rsidP="005A3430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Wskaźnik ten jest efektem sumy wszystkich negatywnych doświadczeń. Poprawa problemów wskazanych w </w:t>
            </w:r>
            <w:r w:rsidR="005A343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powyżej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powinna wpłynąć na redukcję liczby osób skłonnych zdecydowanie nie polecać szpitala (17,87%).</w:t>
            </w:r>
          </w:p>
        </w:tc>
      </w:tr>
      <w:tr w:rsidR="00695BD5" w:rsidRPr="00D53DAF" w:rsidTr="0042143A">
        <w:trPr>
          <w:trHeight w:hRule="exact" w:val="1317"/>
          <w:tblCellSpacing w:w="15" w:type="dxa"/>
        </w:trPr>
        <w:tc>
          <w:tcPr>
            <w:tcW w:w="2278" w:type="dxa"/>
            <w:shd w:val="clear" w:color="auto" w:fill="auto"/>
            <w:vAlign w:val="center"/>
            <w:hideMark/>
          </w:tcPr>
          <w:p w:rsidR="00695BD5" w:rsidRPr="00695BD5" w:rsidRDefault="00695BD5" w:rsidP="00695BD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E01. Respektowanie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  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P</w:t>
            </w: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raw Pacjenta</w:t>
            </w:r>
          </w:p>
        </w:tc>
        <w:tc>
          <w:tcPr>
            <w:tcW w:w="1861" w:type="dxa"/>
            <w:vAlign w:val="center"/>
            <w:hideMark/>
          </w:tcPr>
          <w:p w:rsidR="00695BD5" w:rsidRPr="00695BD5" w:rsidRDefault="00695BD5" w:rsidP="00695BD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17,52%</w:t>
            </w:r>
          </w:p>
        </w:tc>
        <w:tc>
          <w:tcPr>
            <w:tcW w:w="5152" w:type="dxa"/>
            <w:vAlign w:val="center"/>
            <w:hideMark/>
          </w:tcPr>
          <w:p w:rsidR="00695BD5" w:rsidRPr="00695BD5" w:rsidRDefault="00695BD5" w:rsidP="00695BD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Zapewnienie standardów etycznych: Niezadowolenie niemal 18% pacjentów w kwestii praw </w:t>
            </w:r>
            <w:r w:rsidR="005A343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pacjenta </w:t>
            </w:r>
            <w:r w:rsidRPr="00695BD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jest niepokojące i wymaga audytu procedur etycznych w oddziałach problematycznych.</w:t>
            </w:r>
          </w:p>
        </w:tc>
      </w:tr>
    </w:tbl>
    <w:p w:rsidR="00D74C67" w:rsidRDefault="00AC7C72" w:rsidP="00EE5494">
      <w:pPr>
        <w:spacing w:after="0" w:line="240" w:lineRule="auto"/>
        <w:jc w:val="center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AC7C72">
        <w:rPr>
          <w:rFonts w:ascii="Century Gothic" w:eastAsia="Times New Roman" w:hAnsi="Century Gothic" w:cs="Times New Roman"/>
          <w:b/>
          <w:bCs/>
          <w:noProof/>
          <w:sz w:val="20"/>
          <w:szCs w:val="20"/>
          <w:lang w:eastAsia="pl-PL"/>
        </w:rPr>
        <w:lastRenderedPageBreak/>
        <w:drawing>
          <wp:inline distT="0" distB="0" distL="0" distR="0">
            <wp:extent cx="5757210" cy="2160000"/>
            <wp:effectExtent l="19050" t="0" r="14940" b="0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D74C67" w:rsidRPr="0042143A" w:rsidRDefault="00D74C67" w:rsidP="00EE5494">
      <w:pPr>
        <w:spacing w:before="240" w:after="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42143A">
        <w:rPr>
          <w:rFonts w:ascii="Century Gothic" w:eastAsia="Times New Roman" w:hAnsi="Century Gothic" w:cs="Times New Roman"/>
          <w:b/>
          <w:bCs/>
          <w:lang w:eastAsia="pl-PL"/>
        </w:rPr>
        <w:t xml:space="preserve">B. </w:t>
      </w:r>
      <w:r w:rsidRPr="0042143A">
        <w:rPr>
          <w:rFonts w:ascii="Century Gothic" w:eastAsia="Times New Roman" w:hAnsi="Century Gothic" w:cs="Times New Roman"/>
          <w:b/>
          <w:bCs/>
          <w:smallCaps/>
          <w:lang w:eastAsia="pl-PL"/>
        </w:rPr>
        <w:t xml:space="preserve">Obszary </w:t>
      </w:r>
      <w:r w:rsidRPr="0042143A">
        <w:rPr>
          <w:rFonts w:ascii="Century Gothic" w:eastAsia="Times New Roman" w:hAnsi="Century Gothic" w:cs="Times New Roman"/>
          <w:b/>
          <w:bCs/>
          <w:caps/>
          <w:lang w:eastAsia="pl-PL"/>
        </w:rPr>
        <w:t>Obojętne</w:t>
      </w:r>
      <w:r w:rsidRPr="0042143A">
        <w:rPr>
          <w:rFonts w:ascii="Century Gothic" w:eastAsia="Times New Roman" w:hAnsi="Century Gothic" w:cs="Times New Roman"/>
          <w:b/>
          <w:bCs/>
          <w:smallCaps/>
          <w:lang w:eastAsia="pl-PL"/>
        </w:rPr>
        <w:t xml:space="preserve"> (potencjał do poprawy)</w:t>
      </w:r>
    </w:p>
    <w:p w:rsidR="00D74C67" w:rsidRPr="0042143A" w:rsidRDefault="00D74C67" w:rsidP="005A1F31">
      <w:pPr>
        <w:spacing w:before="120" w:after="240"/>
        <w:jc w:val="both"/>
        <w:rPr>
          <w:rFonts w:ascii="Century Gothic" w:eastAsia="Times New Roman" w:hAnsi="Century Gothic" w:cs="Times New Roman"/>
          <w:lang w:eastAsia="pl-PL"/>
        </w:rPr>
      </w:pPr>
      <w:r w:rsidRPr="0042143A">
        <w:rPr>
          <w:rFonts w:ascii="Century Gothic" w:eastAsia="Times New Roman" w:hAnsi="Century Gothic" w:cs="Times New Roman"/>
          <w:lang w:eastAsia="pl-PL"/>
        </w:rPr>
        <w:t xml:space="preserve">Obszary te charakteryzują się stosunkowo wysokim odsetkiem </w:t>
      </w:r>
      <w:r w:rsidR="0042143A">
        <w:rPr>
          <w:rFonts w:ascii="Century Gothic" w:eastAsia="Times New Roman" w:hAnsi="Century Gothic" w:cs="Times New Roman"/>
          <w:lang w:eastAsia="pl-PL"/>
        </w:rPr>
        <w:t>ocen neutralnych</w:t>
      </w:r>
      <w:r w:rsidR="0042143A">
        <w:rPr>
          <w:rFonts w:ascii="Century Gothic" w:eastAsia="Times New Roman" w:hAnsi="Century Gothic" w:cs="Times New Roman"/>
          <w:lang w:eastAsia="pl-PL"/>
        </w:rPr>
        <w:br/>
      </w:r>
      <w:r w:rsidRPr="0042143A">
        <w:rPr>
          <w:rFonts w:ascii="Century Gothic" w:eastAsia="Times New Roman" w:hAnsi="Century Gothic" w:cs="Times New Roman"/>
          <w:lang w:eastAsia="pl-PL"/>
        </w:rPr>
        <w:t>(7-8), co oznacza, że pacjenci nie są ani szczególnie zadowoleni, ani niezadowoleni. Przesunięcie pacjentów z kategorii obojętnej do kategorii dobrej (9-10) znacząco poprawi ogólne wskaźniki satysfakcji.</w:t>
      </w:r>
    </w:p>
    <w:tbl>
      <w:tblPr>
        <w:tblW w:w="941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82"/>
        <w:gridCol w:w="1984"/>
        <w:gridCol w:w="5245"/>
      </w:tblGrid>
      <w:tr w:rsidR="00D74C67" w:rsidRPr="00D53DAF" w:rsidTr="008D19E0">
        <w:trPr>
          <w:trHeight w:val="567"/>
          <w:tblCellSpacing w:w="15" w:type="dxa"/>
        </w:trPr>
        <w:tc>
          <w:tcPr>
            <w:tcW w:w="2137" w:type="dxa"/>
            <w:shd w:val="clear" w:color="auto" w:fill="F2F2F2" w:themeFill="background1" w:themeFillShade="F2"/>
            <w:vAlign w:val="center"/>
            <w:hideMark/>
          </w:tcPr>
          <w:p w:rsidR="00D74C67" w:rsidRPr="0042143A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Aspekt</w:t>
            </w:r>
          </w:p>
        </w:tc>
        <w:tc>
          <w:tcPr>
            <w:tcW w:w="1954" w:type="dxa"/>
            <w:shd w:val="clear" w:color="auto" w:fill="F2F2F2" w:themeFill="background1" w:themeFillShade="F2"/>
            <w:vAlign w:val="center"/>
            <w:hideMark/>
          </w:tcPr>
          <w:p w:rsidR="00D74C67" w:rsidRPr="0042143A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Odsetek ocen 7-8</w:t>
            </w:r>
            <w:r w:rsidRP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br/>
              <w:t xml:space="preserve">obszar </w:t>
            </w:r>
            <w:r w:rsidR="0042143A" w:rsidRP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OBOJĘTNY</w:t>
            </w:r>
          </w:p>
        </w:tc>
        <w:tc>
          <w:tcPr>
            <w:tcW w:w="5200" w:type="dxa"/>
            <w:shd w:val="clear" w:color="auto" w:fill="F2F2F2" w:themeFill="background1" w:themeFillShade="F2"/>
            <w:vAlign w:val="center"/>
            <w:hideMark/>
          </w:tcPr>
          <w:p w:rsidR="00D74C67" w:rsidRPr="0042143A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Kluczowe działanie</w:t>
            </w:r>
          </w:p>
        </w:tc>
      </w:tr>
      <w:tr w:rsidR="00D74C67" w:rsidRPr="00D53DAF" w:rsidTr="008D19E0">
        <w:trPr>
          <w:trHeight w:hRule="exact" w:val="1975"/>
          <w:tblCellSpacing w:w="15" w:type="dxa"/>
        </w:trPr>
        <w:tc>
          <w:tcPr>
            <w:tcW w:w="2137" w:type="dxa"/>
            <w:vAlign w:val="center"/>
            <w:hideMark/>
          </w:tcPr>
          <w:p w:rsidR="00D74C67" w:rsidRPr="0042143A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D01. Wyżywienie</w:t>
            </w:r>
          </w:p>
        </w:tc>
        <w:tc>
          <w:tcPr>
            <w:tcW w:w="1954" w:type="dxa"/>
            <w:vAlign w:val="center"/>
            <w:hideMark/>
          </w:tcPr>
          <w:p w:rsidR="00D74C67" w:rsidRPr="0042143A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17,65%</w:t>
            </w:r>
          </w:p>
        </w:tc>
        <w:tc>
          <w:tcPr>
            <w:tcW w:w="5200" w:type="dxa"/>
            <w:vAlign w:val="center"/>
            <w:hideMark/>
          </w:tcPr>
          <w:p w:rsidR="00D74C67" w:rsidRPr="0042143A" w:rsidRDefault="00D74C67" w:rsidP="004F057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Oprócz najwyższego wskaźnika niezadowolenia, ma też </w:t>
            </w:r>
            <w:r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najwyższy wskaźnik obojętności</w:t>
            </w:r>
            <w:r w:rsidRPr="0042143A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pl-PL"/>
              </w:rPr>
              <w:t xml:space="preserve"> w badaniu (17,65%). </w:t>
            </w:r>
            <w:r w:rsidR="0042143A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</w:t>
            </w:r>
            <w:r w:rsidR="0042143A" w:rsidRPr="00640502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ależy dążyć do przekształcenia neutralnych pacjentów w zadowolonych </w:t>
            </w:r>
            <w:r w:rsidR="004F057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poprzez poprawę jakości serwisu - </w:t>
            </w:r>
            <w:r w:rsidRPr="0042143A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pl-PL"/>
              </w:rPr>
              <w:t>poprawa smaku lub estetyki posiłków może skłonić pacjentów do wyższej oceny</w:t>
            </w:r>
            <w:r w:rsidR="0042143A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pl-PL"/>
              </w:rPr>
              <w:t xml:space="preserve">. </w:t>
            </w:r>
          </w:p>
        </w:tc>
      </w:tr>
      <w:tr w:rsidR="00D74C67" w:rsidRPr="00D53DAF" w:rsidTr="008D19E0">
        <w:trPr>
          <w:trHeight w:hRule="exact" w:val="1122"/>
          <w:tblCellSpacing w:w="15" w:type="dxa"/>
        </w:trPr>
        <w:tc>
          <w:tcPr>
            <w:tcW w:w="2137" w:type="dxa"/>
            <w:vAlign w:val="center"/>
            <w:hideMark/>
          </w:tcPr>
          <w:p w:rsidR="00D74C67" w:rsidRPr="0042143A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A01. Sprawność </w:t>
            </w:r>
            <w:r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</w:t>
            </w:r>
            <w:r w:rsidR="00B36EBC"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procesu </w:t>
            </w:r>
            <w:r w:rsidR="00B36EBC"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</w:t>
            </w:r>
            <w:r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przyjęcia </w:t>
            </w:r>
            <w:r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</w:t>
            </w:r>
            <w:r w:rsidR="00B36EBC"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   do Szpitala</w:t>
            </w:r>
          </w:p>
        </w:tc>
        <w:tc>
          <w:tcPr>
            <w:tcW w:w="1954" w:type="dxa"/>
            <w:vAlign w:val="center"/>
            <w:hideMark/>
          </w:tcPr>
          <w:p w:rsidR="00D74C67" w:rsidRPr="0042143A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14,06%</w:t>
            </w:r>
          </w:p>
        </w:tc>
        <w:tc>
          <w:tcPr>
            <w:tcW w:w="5200" w:type="dxa"/>
            <w:vAlign w:val="center"/>
            <w:hideMark/>
          </w:tcPr>
          <w:p w:rsidR="00D74C67" w:rsidRPr="0042143A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14,06% pacjentów jest obojętnych. Uproszczenie procedur i skrócenie czasu oczekiwania może przesunąć ten wskaźnik na plus.</w:t>
            </w:r>
          </w:p>
        </w:tc>
      </w:tr>
      <w:tr w:rsidR="0042143A" w:rsidRPr="00D53DAF" w:rsidTr="008D19E0">
        <w:trPr>
          <w:trHeight w:hRule="exact" w:val="1252"/>
          <w:tblCellSpacing w:w="15" w:type="dxa"/>
        </w:trPr>
        <w:tc>
          <w:tcPr>
            <w:tcW w:w="2137" w:type="dxa"/>
            <w:vAlign w:val="center"/>
            <w:hideMark/>
          </w:tcPr>
          <w:p w:rsidR="0042143A" w:rsidRPr="0042143A" w:rsidRDefault="0042143A" w:rsidP="0042143A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C02. Zrozumiałość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</w:t>
            </w:r>
            <w:r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zaleceń</w:t>
            </w:r>
          </w:p>
        </w:tc>
        <w:tc>
          <w:tcPr>
            <w:tcW w:w="1954" w:type="dxa"/>
            <w:vAlign w:val="center"/>
            <w:hideMark/>
          </w:tcPr>
          <w:p w:rsidR="0042143A" w:rsidRPr="0042143A" w:rsidRDefault="0042143A" w:rsidP="0042143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13,93%</w:t>
            </w:r>
          </w:p>
        </w:tc>
        <w:tc>
          <w:tcPr>
            <w:tcW w:w="5200" w:type="dxa"/>
            <w:vAlign w:val="center"/>
            <w:hideMark/>
          </w:tcPr>
          <w:p w:rsidR="0042143A" w:rsidRPr="0042143A" w:rsidRDefault="0042143A" w:rsidP="0042143A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Choć jest to jeden z najlepszych wskaźników, wciąż prawie 14% pacjentów ma neutralną opinię. Dalsza standaryzacja może zwiększyć odsetek pozytywnych rekomendacji.</w:t>
            </w:r>
          </w:p>
        </w:tc>
      </w:tr>
    </w:tbl>
    <w:p w:rsidR="00D74C67" w:rsidRDefault="00EE5494" w:rsidP="00285AD0">
      <w:pPr>
        <w:spacing w:after="0" w:line="240" w:lineRule="auto"/>
        <w:jc w:val="center"/>
        <w:outlineLvl w:val="2"/>
        <w:rPr>
          <w:rFonts w:ascii="Century Gothic" w:eastAsia="Times New Roman" w:hAnsi="Century Gothic" w:cs="Times New Roman"/>
          <w:b/>
          <w:bCs/>
          <w:noProof/>
          <w:sz w:val="20"/>
          <w:szCs w:val="20"/>
          <w:lang w:eastAsia="pl-PL"/>
        </w:rPr>
      </w:pPr>
      <w:r w:rsidRPr="00EE5494">
        <w:rPr>
          <w:rFonts w:ascii="Century Gothic" w:eastAsia="Times New Roman" w:hAnsi="Century Gothic" w:cs="Times New Roman"/>
          <w:b/>
          <w:bCs/>
          <w:noProof/>
          <w:sz w:val="20"/>
          <w:szCs w:val="20"/>
          <w:lang w:eastAsia="pl-PL"/>
        </w:rPr>
        <w:lastRenderedPageBreak/>
        <w:drawing>
          <wp:inline distT="0" distB="0" distL="0" distR="0">
            <wp:extent cx="4320000" cy="2160000"/>
            <wp:effectExtent l="19050" t="0" r="23400" b="0"/>
            <wp:docPr id="2" name="Wykres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D74C67" w:rsidRPr="004F057D" w:rsidRDefault="00D74C67" w:rsidP="00EE5494">
      <w:pPr>
        <w:spacing w:before="240" w:after="120" w:line="240" w:lineRule="auto"/>
        <w:outlineLvl w:val="2"/>
        <w:rPr>
          <w:rFonts w:ascii="Century Gothic" w:eastAsia="Times New Roman" w:hAnsi="Century Gothic" w:cs="Times New Roman"/>
          <w:b/>
          <w:bCs/>
          <w:caps/>
          <w:lang w:eastAsia="pl-PL"/>
        </w:rPr>
      </w:pPr>
      <w:r w:rsidRPr="004F057D">
        <w:rPr>
          <w:rFonts w:ascii="Century Gothic" w:eastAsia="Times New Roman" w:hAnsi="Century Gothic" w:cs="Times New Roman"/>
          <w:b/>
          <w:bCs/>
          <w:lang w:eastAsia="pl-PL"/>
        </w:rPr>
        <w:t>C.</w:t>
      </w:r>
      <w:r w:rsidRPr="004F057D">
        <w:rPr>
          <w:rFonts w:ascii="Century Gothic" w:eastAsia="Times New Roman" w:hAnsi="Century Gothic" w:cs="Times New Roman"/>
          <w:b/>
          <w:bCs/>
          <w:smallCaps/>
          <w:lang w:eastAsia="pl-PL"/>
        </w:rPr>
        <w:t xml:space="preserve"> Obszary </w:t>
      </w:r>
      <w:r w:rsidRPr="004F057D">
        <w:rPr>
          <w:rFonts w:ascii="Century Gothic" w:eastAsia="Times New Roman" w:hAnsi="Century Gothic" w:cs="Times New Roman"/>
          <w:b/>
          <w:bCs/>
          <w:caps/>
          <w:lang w:eastAsia="pl-PL"/>
        </w:rPr>
        <w:t>Dobre (</w:t>
      </w:r>
      <w:r w:rsidR="009446A9" w:rsidRPr="004F057D">
        <w:rPr>
          <w:rFonts w:ascii="Century Gothic" w:eastAsia="Times New Roman" w:hAnsi="Century Gothic" w:cs="Times New Roman"/>
          <w:b/>
          <w:bCs/>
          <w:smallCaps/>
          <w:lang w:eastAsia="pl-PL"/>
        </w:rPr>
        <w:t>wzmacnianie</w:t>
      </w:r>
      <w:r w:rsidRPr="004F057D">
        <w:rPr>
          <w:rFonts w:ascii="Century Gothic" w:eastAsia="Times New Roman" w:hAnsi="Century Gothic" w:cs="Times New Roman"/>
          <w:b/>
          <w:bCs/>
          <w:caps/>
          <w:lang w:eastAsia="pl-PL"/>
        </w:rPr>
        <w:t>)</w:t>
      </w:r>
    </w:p>
    <w:p w:rsidR="00D74C67" w:rsidRPr="004F057D" w:rsidRDefault="00D74C67" w:rsidP="00B36EBC">
      <w:pPr>
        <w:spacing w:before="120" w:after="120"/>
        <w:jc w:val="both"/>
        <w:rPr>
          <w:rFonts w:ascii="Century Gothic" w:eastAsia="Times New Roman" w:hAnsi="Century Gothic" w:cs="Times New Roman"/>
          <w:lang w:eastAsia="pl-PL"/>
        </w:rPr>
      </w:pPr>
      <w:r w:rsidRPr="004F057D">
        <w:rPr>
          <w:rFonts w:ascii="Century Gothic" w:eastAsia="Times New Roman" w:hAnsi="Century Gothic" w:cs="Times New Roman"/>
          <w:lang w:eastAsia="pl-PL"/>
        </w:rPr>
        <w:t xml:space="preserve">Te aspekty powinny być zachowane i promowane jako </w:t>
      </w:r>
      <w:r w:rsidR="009446A9" w:rsidRPr="004F057D">
        <w:rPr>
          <w:rFonts w:ascii="Century Gothic" w:eastAsia="Times New Roman" w:hAnsi="Century Gothic" w:cs="Times New Roman"/>
          <w:lang w:eastAsia="pl-PL"/>
        </w:rPr>
        <w:t>najlepsze praktyki</w:t>
      </w:r>
      <w:r w:rsidR="009446A9" w:rsidRPr="004F057D">
        <w:rPr>
          <w:rFonts w:ascii="Century Gothic" w:eastAsia="Times New Roman" w:hAnsi="Century Gothic" w:cs="Times New Roman"/>
          <w:lang w:eastAsia="pl-PL"/>
        </w:rPr>
        <w:br/>
      </w:r>
      <w:r w:rsidRPr="004F057D">
        <w:rPr>
          <w:rFonts w:ascii="Century Gothic" w:eastAsia="Times New Roman" w:hAnsi="Century Gothic" w:cs="Times New Roman"/>
          <w:lang w:eastAsia="pl-PL"/>
        </w:rPr>
        <w:t xml:space="preserve">w </w:t>
      </w:r>
      <w:r w:rsidR="004F057D">
        <w:rPr>
          <w:rFonts w:ascii="Century Gothic" w:eastAsia="Times New Roman" w:hAnsi="Century Gothic" w:cs="Times New Roman"/>
          <w:lang w:eastAsia="pl-PL"/>
        </w:rPr>
        <w:t>S</w:t>
      </w:r>
      <w:r w:rsidRPr="004F057D">
        <w:rPr>
          <w:rFonts w:ascii="Century Gothic" w:eastAsia="Times New Roman" w:hAnsi="Century Gothic" w:cs="Times New Roman"/>
          <w:lang w:eastAsia="pl-PL"/>
        </w:rPr>
        <w:t>zpitalu, gdyż charakteryzują się najwyższym odsetkiem ocen 9</w:t>
      </w:r>
      <w:r w:rsidR="004F057D">
        <w:rPr>
          <w:rFonts w:ascii="Century Gothic" w:eastAsia="Times New Roman" w:hAnsi="Century Gothic" w:cs="Times New Roman"/>
          <w:lang w:eastAsia="pl-PL"/>
        </w:rPr>
        <w:t xml:space="preserve"> (dobra)</w:t>
      </w:r>
      <w:r w:rsidRPr="004F057D">
        <w:rPr>
          <w:rFonts w:ascii="Century Gothic" w:eastAsia="Times New Roman" w:hAnsi="Century Gothic" w:cs="Times New Roman"/>
          <w:lang w:eastAsia="pl-PL"/>
        </w:rPr>
        <w:t xml:space="preserve"> i 10 </w:t>
      </w:r>
      <w:r w:rsidR="004F057D">
        <w:rPr>
          <w:rFonts w:ascii="Century Gothic" w:eastAsia="Times New Roman" w:hAnsi="Century Gothic" w:cs="Times New Roman"/>
          <w:lang w:eastAsia="pl-PL"/>
        </w:rPr>
        <w:t xml:space="preserve">(bardzo dobra) </w:t>
      </w:r>
      <w:r w:rsidRPr="004F057D">
        <w:rPr>
          <w:rFonts w:ascii="Century Gothic" w:eastAsia="Times New Roman" w:hAnsi="Century Gothic" w:cs="Times New Roman"/>
          <w:lang w:eastAsia="pl-PL"/>
        </w:rPr>
        <w:t>oraz niskim odsetkiem niezadowolenia:</w:t>
      </w:r>
    </w:p>
    <w:tbl>
      <w:tblPr>
        <w:tblW w:w="947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23"/>
        <w:gridCol w:w="1843"/>
        <w:gridCol w:w="5309"/>
      </w:tblGrid>
      <w:tr w:rsidR="00D74C67" w:rsidRPr="00D53DAF" w:rsidTr="00285AD0">
        <w:trPr>
          <w:trHeight w:val="567"/>
          <w:tblCellSpacing w:w="15" w:type="dxa"/>
        </w:trPr>
        <w:tc>
          <w:tcPr>
            <w:tcW w:w="2278" w:type="dxa"/>
            <w:shd w:val="clear" w:color="auto" w:fill="F2F2F2" w:themeFill="background1" w:themeFillShade="F2"/>
            <w:vAlign w:val="center"/>
            <w:hideMark/>
          </w:tcPr>
          <w:p w:rsidR="00D74C67" w:rsidRPr="00B36EBC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sz w:val="24"/>
                <w:szCs w:val="24"/>
                <w:lang w:eastAsia="pl-PL"/>
              </w:rPr>
            </w:pPr>
            <w:r w:rsidRPr="00B36EBC">
              <w:rPr>
                <w:rFonts w:ascii="Century Gothic" w:eastAsia="Times New Roman" w:hAnsi="Century Gothic" w:cs="Times New Roman"/>
                <w:b/>
                <w:bCs/>
                <w:smallCaps/>
                <w:sz w:val="24"/>
                <w:szCs w:val="24"/>
                <w:lang w:eastAsia="pl-PL"/>
              </w:rPr>
              <w:t>Aspekt</w:t>
            </w:r>
          </w:p>
        </w:tc>
        <w:tc>
          <w:tcPr>
            <w:tcW w:w="1813" w:type="dxa"/>
            <w:shd w:val="clear" w:color="auto" w:fill="F2F2F2" w:themeFill="background1" w:themeFillShade="F2"/>
            <w:vAlign w:val="center"/>
            <w:hideMark/>
          </w:tcPr>
          <w:p w:rsidR="00D74C67" w:rsidRPr="00B36EBC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B36EBC">
              <w:rPr>
                <w:rFonts w:ascii="Century Gothic" w:eastAsia="Times New Roman" w:hAnsi="Century Gothic" w:cs="Times New Roman"/>
                <w:b/>
                <w:bCs/>
                <w:smallCaps/>
                <w:sz w:val="20"/>
                <w:szCs w:val="20"/>
                <w:lang w:eastAsia="pl-PL"/>
              </w:rPr>
              <w:t>Odsetek ocen 9-10</w:t>
            </w:r>
            <w:r w:rsidRPr="00B36EBC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 xml:space="preserve"> </w:t>
            </w:r>
            <w:r w:rsidRPr="00B36EBC">
              <w:rPr>
                <w:rFonts w:ascii="Century Gothic" w:eastAsia="Times New Roman" w:hAnsi="Century Gothic" w:cs="Times New Roman"/>
                <w:b/>
                <w:bCs/>
                <w:caps/>
                <w:lang w:eastAsia="pl-PL"/>
              </w:rPr>
              <w:t>obszar dobry</w:t>
            </w:r>
          </w:p>
        </w:tc>
        <w:tc>
          <w:tcPr>
            <w:tcW w:w="5264" w:type="dxa"/>
            <w:shd w:val="clear" w:color="auto" w:fill="F2F2F2" w:themeFill="background1" w:themeFillShade="F2"/>
            <w:vAlign w:val="center"/>
            <w:hideMark/>
          </w:tcPr>
          <w:p w:rsidR="00D74C67" w:rsidRPr="00B36EBC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sz w:val="24"/>
                <w:szCs w:val="24"/>
                <w:lang w:eastAsia="pl-PL"/>
              </w:rPr>
            </w:pPr>
            <w:r w:rsidRPr="00B36EBC">
              <w:rPr>
                <w:rFonts w:ascii="Century Gothic" w:eastAsia="Times New Roman" w:hAnsi="Century Gothic" w:cs="Times New Roman"/>
                <w:b/>
                <w:bCs/>
                <w:smallCaps/>
                <w:sz w:val="24"/>
                <w:szCs w:val="24"/>
                <w:lang w:eastAsia="pl-PL"/>
              </w:rPr>
              <w:t>Kluczowe działanie</w:t>
            </w:r>
          </w:p>
        </w:tc>
      </w:tr>
      <w:tr w:rsidR="00D74C67" w:rsidRPr="00D53DAF" w:rsidTr="00285AD0">
        <w:trPr>
          <w:trHeight w:hRule="exact" w:val="1570"/>
          <w:tblCellSpacing w:w="15" w:type="dxa"/>
        </w:trPr>
        <w:tc>
          <w:tcPr>
            <w:tcW w:w="2278" w:type="dxa"/>
            <w:shd w:val="clear" w:color="auto" w:fill="auto"/>
            <w:vAlign w:val="center"/>
            <w:hideMark/>
          </w:tcPr>
          <w:p w:rsidR="00D74C67" w:rsidRPr="00152B49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D02. Czystość </w:t>
            </w:r>
          </w:p>
        </w:tc>
        <w:tc>
          <w:tcPr>
            <w:tcW w:w="1813" w:type="dxa"/>
            <w:vAlign w:val="center"/>
            <w:hideMark/>
          </w:tcPr>
          <w:p w:rsidR="00D74C67" w:rsidRPr="00152B49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75,43%</w:t>
            </w:r>
          </w:p>
        </w:tc>
        <w:tc>
          <w:tcPr>
            <w:tcW w:w="5264" w:type="dxa"/>
            <w:vAlign w:val="center"/>
            <w:hideMark/>
          </w:tcPr>
          <w:p w:rsidR="00D74C67" w:rsidRPr="00152B49" w:rsidRDefault="00152B49" w:rsidP="00152B49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Lider jakości: </w:t>
            </w:r>
            <w:r w:rsidR="00D74C67"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Najwyższy wskaźnik zadowolenia (75,43%)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D74C67"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i najniższy wskaźnik niezadowolenia (13,14%)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D74C67"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w całym badaniu. Standardy higieniczne należy utrzymywać na obecnym poziomie. Czystość jest najlepiej ocenianym aspektem szpitala</w:t>
            </w:r>
            <w:r w:rsidR="00B36EBC"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.</w:t>
            </w:r>
          </w:p>
        </w:tc>
      </w:tr>
      <w:tr w:rsidR="00D74C67" w:rsidRPr="00D53DAF" w:rsidTr="00285AD0">
        <w:trPr>
          <w:trHeight w:hRule="exact" w:val="1606"/>
          <w:tblCellSpacing w:w="15" w:type="dxa"/>
        </w:trPr>
        <w:tc>
          <w:tcPr>
            <w:tcW w:w="2278" w:type="dxa"/>
            <w:shd w:val="clear" w:color="auto" w:fill="auto"/>
            <w:vAlign w:val="center"/>
            <w:hideMark/>
          </w:tcPr>
          <w:p w:rsidR="00D74C67" w:rsidRPr="00152B49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E01. Respektowanie </w:t>
            </w:r>
            <w:r w:rsidRPr="00152B49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Praw Pacjenta </w:t>
            </w:r>
          </w:p>
        </w:tc>
        <w:tc>
          <w:tcPr>
            <w:tcW w:w="1813" w:type="dxa"/>
            <w:vAlign w:val="center"/>
            <w:hideMark/>
          </w:tcPr>
          <w:p w:rsidR="00D74C67" w:rsidRPr="00152B49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75,22%</w:t>
            </w:r>
          </w:p>
        </w:tc>
        <w:tc>
          <w:tcPr>
            <w:tcW w:w="5264" w:type="dxa"/>
            <w:vAlign w:val="center"/>
            <w:hideMark/>
          </w:tcPr>
          <w:p w:rsidR="00D74C67" w:rsidRPr="00152B49" w:rsidRDefault="00D74C67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Bardzo wysoki wskaźnik zadowolenia (75,22%). Jednakże  wskaźnik ten wymaga wzmocnienia, aby niwelować duży odsetek niezadowolonych pacjentów (17,52%).</w:t>
            </w:r>
            <w:r w:rsid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Należy wykorzystywać oddziały wzorcowe do replikacji procedur etycznych (O. Neurochirurgii, O. Neurologii)</w:t>
            </w:r>
          </w:p>
        </w:tc>
      </w:tr>
      <w:tr w:rsidR="00D74C67" w:rsidRPr="00D53DAF" w:rsidTr="00285AD0">
        <w:trPr>
          <w:trHeight w:hRule="exact" w:val="1162"/>
          <w:tblCellSpacing w:w="15" w:type="dxa"/>
        </w:trPr>
        <w:tc>
          <w:tcPr>
            <w:tcW w:w="2278" w:type="dxa"/>
            <w:shd w:val="clear" w:color="auto" w:fill="auto"/>
            <w:vAlign w:val="center"/>
            <w:hideMark/>
          </w:tcPr>
          <w:p w:rsidR="00D74C67" w:rsidRPr="00152B49" w:rsidRDefault="00D74C67" w:rsidP="00B36EBC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B02. Opieka</w:t>
            </w:r>
            <w:r w:rsidR="00E60FD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B36EBC" w:rsidRPr="00152B49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</w:t>
            </w:r>
            <w:r w:rsidR="00E60FD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i </w:t>
            </w:r>
            <w:r w:rsidRPr="00152B49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zaangażowanie  </w:t>
            </w:r>
            <w:r w:rsidRPr="00152B49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personelu</w:t>
            </w:r>
          </w:p>
        </w:tc>
        <w:tc>
          <w:tcPr>
            <w:tcW w:w="1813" w:type="dxa"/>
            <w:vAlign w:val="center"/>
            <w:hideMark/>
          </w:tcPr>
          <w:p w:rsidR="00D74C67" w:rsidRPr="00152B49" w:rsidRDefault="00D74C67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73,06%</w:t>
            </w:r>
          </w:p>
        </w:tc>
        <w:tc>
          <w:tcPr>
            <w:tcW w:w="5264" w:type="dxa"/>
            <w:vAlign w:val="center"/>
            <w:hideMark/>
          </w:tcPr>
          <w:p w:rsidR="00D74C67" w:rsidRPr="00152B49" w:rsidRDefault="00D74C67" w:rsidP="00E60FD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Wysoki wskaźnik zadowolenia (73,06%). </w:t>
            </w:r>
            <w:r w:rsidR="00E60FD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Potwierdza to jakość kadry i e</w:t>
            </w:r>
            <w:r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ty</w:t>
            </w:r>
            <w:r w:rsidR="00E60FD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kę</w:t>
            </w:r>
            <w:r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pracy</w:t>
            </w:r>
            <w:r w:rsidR="00E60FD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, jednak wymaga korekty lokalnych problemów, gdyż poziom </w:t>
            </w:r>
            <w:r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niezadowolenia wyniósł tu 17,55%.</w:t>
            </w:r>
          </w:p>
        </w:tc>
      </w:tr>
      <w:tr w:rsidR="00E60FDD" w:rsidRPr="00D53DAF" w:rsidTr="00285AD0">
        <w:trPr>
          <w:trHeight w:hRule="exact" w:val="1164"/>
          <w:tblCellSpacing w:w="15" w:type="dxa"/>
        </w:trPr>
        <w:tc>
          <w:tcPr>
            <w:tcW w:w="2278" w:type="dxa"/>
            <w:shd w:val="clear" w:color="auto" w:fill="auto"/>
            <w:vAlign w:val="center"/>
            <w:hideMark/>
          </w:tcPr>
          <w:p w:rsidR="00E60FDD" w:rsidRPr="00640502" w:rsidRDefault="00E60FDD" w:rsidP="00E60FD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40502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F01. Rekomendacja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</w:t>
            </w:r>
            <w:r w:rsidRPr="00640502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Szpitala</w:t>
            </w:r>
          </w:p>
        </w:tc>
        <w:tc>
          <w:tcPr>
            <w:tcW w:w="1813" w:type="dxa"/>
            <w:vAlign w:val="center"/>
            <w:hideMark/>
          </w:tcPr>
          <w:p w:rsidR="00E60FDD" w:rsidRPr="00640502" w:rsidRDefault="00E60FDD" w:rsidP="00E60FD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40502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72,34%</w:t>
            </w:r>
          </w:p>
        </w:tc>
        <w:tc>
          <w:tcPr>
            <w:tcW w:w="5264" w:type="dxa"/>
            <w:vAlign w:val="center"/>
            <w:hideMark/>
          </w:tcPr>
          <w:p w:rsidR="00E60FDD" w:rsidRPr="00640502" w:rsidRDefault="00E60FDD" w:rsidP="00E60FD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40502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Wysoki wskaźnik lojalności (72,34%). Należy monitorować ten wskaźnik i 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monitorować</w:t>
            </w:r>
            <w:r w:rsidRPr="00640502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najsłabsze ogniwa 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(pkt. II.A),</w:t>
            </w:r>
            <w:r w:rsidRPr="00640502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które stanowią główne ryzyko dla rekomendacji.</w:t>
            </w:r>
          </w:p>
        </w:tc>
      </w:tr>
      <w:tr w:rsidR="00E60FDD" w:rsidRPr="00D53DAF" w:rsidTr="00285AD0">
        <w:trPr>
          <w:trHeight w:hRule="exact" w:val="1040"/>
          <w:tblCellSpacing w:w="15" w:type="dxa"/>
        </w:trPr>
        <w:tc>
          <w:tcPr>
            <w:tcW w:w="2278" w:type="dxa"/>
            <w:shd w:val="clear" w:color="auto" w:fill="auto"/>
            <w:vAlign w:val="center"/>
            <w:hideMark/>
          </w:tcPr>
          <w:p w:rsidR="00E60FDD" w:rsidRPr="00152B49" w:rsidRDefault="00E60FDD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C02. Informacja</w:t>
            </w:r>
            <w:r w:rsidRPr="00152B49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po wypisie </w:t>
            </w:r>
          </w:p>
        </w:tc>
        <w:tc>
          <w:tcPr>
            <w:tcW w:w="1813" w:type="dxa"/>
            <w:vAlign w:val="center"/>
            <w:hideMark/>
          </w:tcPr>
          <w:p w:rsidR="00E60FDD" w:rsidRPr="00152B49" w:rsidRDefault="00E60FDD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71,73%</w:t>
            </w:r>
          </w:p>
        </w:tc>
        <w:tc>
          <w:tcPr>
            <w:tcW w:w="5264" w:type="dxa"/>
            <w:vAlign w:val="center"/>
            <w:hideMark/>
          </w:tcPr>
          <w:p w:rsidR="00E60FDD" w:rsidRPr="00152B49" w:rsidRDefault="00E60FDD" w:rsidP="00285AD0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Wysoki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wskaźnik zadowolenia (71,73%) i niski</w:t>
            </w:r>
            <w:r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wskaźnik niezadowolenia (14,35%). Wyraźne</w:t>
            </w:r>
            <w:r w:rsidR="00285AD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i zrozumiałe wytyczne dla pacjentów są mocną stroną.</w:t>
            </w:r>
          </w:p>
        </w:tc>
      </w:tr>
      <w:tr w:rsidR="00E60FDD" w:rsidRPr="00D53DAF" w:rsidTr="00285AD0">
        <w:trPr>
          <w:trHeight w:hRule="exact" w:val="892"/>
          <w:tblCellSpacing w:w="15" w:type="dxa"/>
        </w:trPr>
        <w:tc>
          <w:tcPr>
            <w:tcW w:w="2278" w:type="dxa"/>
            <w:shd w:val="clear" w:color="auto" w:fill="auto"/>
            <w:vAlign w:val="center"/>
            <w:hideMark/>
          </w:tcPr>
          <w:p w:rsidR="00E60FDD" w:rsidRPr="00152B49" w:rsidRDefault="00E60FDD" w:rsidP="00640502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B03. Leczenie bólu </w:t>
            </w:r>
          </w:p>
        </w:tc>
        <w:tc>
          <w:tcPr>
            <w:tcW w:w="1813" w:type="dxa"/>
            <w:vAlign w:val="center"/>
            <w:hideMark/>
          </w:tcPr>
          <w:p w:rsidR="00E60FDD" w:rsidRPr="00152B49" w:rsidRDefault="00E60FDD" w:rsidP="0064050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71,43%</w:t>
            </w:r>
          </w:p>
        </w:tc>
        <w:tc>
          <w:tcPr>
            <w:tcW w:w="5264" w:type="dxa"/>
            <w:vAlign w:val="center"/>
            <w:hideMark/>
          </w:tcPr>
          <w:p w:rsidR="00E60FDD" w:rsidRPr="00152B49" w:rsidRDefault="00E60FDD" w:rsidP="00E60FD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Wysok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i wskaźnik zadowolenia (71,43%) i trzeci</w:t>
            </w:r>
            <w:r w:rsidRPr="00152B49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najniższy wskaźnik niezadowolenia (15,82%). Wskazuje to na efektywne zarządzanie bólem.</w:t>
            </w:r>
          </w:p>
        </w:tc>
      </w:tr>
    </w:tbl>
    <w:p w:rsidR="00D74C67" w:rsidRDefault="00EE5494" w:rsidP="00D74C67">
      <w:pPr>
        <w:spacing w:after="120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EE5494">
        <w:rPr>
          <w:rFonts w:ascii="Century Gothic" w:eastAsia="Times New Roman" w:hAnsi="Century Gothic" w:cs="Times New Roman"/>
          <w:noProof/>
          <w:sz w:val="20"/>
          <w:szCs w:val="20"/>
          <w:lang w:eastAsia="pl-PL"/>
        </w:rPr>
        <w:lastRenderedPageBreak/>
        <w:drawing>
          <wp:inline distT="0" distB="0" distL="0" distR="0">
            <wp:extent cx="5760000" cy="2160000"/>
            <wp:effectExtent l="19050" t="0" r="12150" b="0"/>
            <wp:docPr id="4" name="Wykres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3B7849" w:rsidRPr="003B7849" w:rsidRDefault="00EA0290" w:rsidP="003B7849">
      <w:pPr>
        <w:spacing w:before="240" w:after="120"/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</w:pPr>
      <w:r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  <w:t>IV</w:t>
      </w:r>
      <w:r w:rsidR="003B7849" w:rsidRPr="003B7849"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  <w:t xml:space="preserve">. Wnioski systemowe i priorytety </w:t>
      </w:r>
      <w:proofErr w:type="spellStart"/>
      <w:r w:rsidR="003B7849" w:rsidRPr="003B7849"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  <w:t>ogólnoszpitalne</w:t>
      </w:r>
      <w:proofErr w:type="spellEnd"/>
    </w:p>
    <w:p w:rsidR="008D19E0" w:rsidRDefault="003B7849" w:rsidP="003B7849">
      <w:pPr>
        <w:pStyle w:val="Akapitzlist"/>
        <w:numPr>
          <w:ilvl w:val="0"/>
          <w:numId w:val="12"/>
        </w:numPr>
        <w:spacing w:after="60"/>
        <w:ind w:left="357" w:hanging="357"/>
        <w:contextualSpacing w:val="0"/>
        <w:jc w:val="both"/>
        <w:rPr>
          <w:rFonts w:ascii="Century Gothic" w:eastAsia="Times New Roman" w:hAnsi="Century Gothic" w:cs="Times New Roman"/>
          <w:lang w:eastAsia="pl-PL"/>
        </w:rPr>
      </w:pPr>
      <w:r w:rsidRPr="003B7849">
        <w:rPr>
          <w:rFonts w:ascii="Century Gothic" w:eastAsia="Times New Roman" w:hAnsi="Century Gothic" w:cs="Times New Roman"/>
          <w:b/>
          <w:bCs/>
          <w:lang w:eastAsia="pl-PL"/>
        </w:rPr>
        <w:t>Dwie trzecie doskonałości:</w:t>
      </w:r>
      <w:r w:rsidRPr="003B7849">
        <w:rPr>
          <w:rFonts w:ascii="Century Gothic" w:eastAsia="Times New Roman" w:hAnsi="Century Gothic" w:cs="Times New Roman"/>
          <w:lang w:eastAsia="pl-PL"/>
        </w:rPr>
        <w:t xml:space="preserve"> </w:t>
      </w:r>
    </w:p>
    <w:p w:rsidR="008D19E0" w:rsidRPr="008D19E0" w:rsidRDefault="008D19E0" w:rsidP="008D19E0">
      <w:pPr>
        <w:pStyle w:val="Akapitzlist"/>
        <w:spacing w:after="60"/>
        <w:ind w:left="357"/>
        <w:contextualSpacing w:val="0"/>
        <w:jc w:val="both"/>
        <w:rPr>
          <w:lang w:eastAsia="pl-PL"/>
        </w:rPr>
      </w:pPr>
      <w:r w:rsidRPr="008D19E0">
        <w:rPr>
          <w:rFonts w:ascii="Century Gothic" w:eastAsia="Times New Roman" w:hAnsi="Century Gothic" w:cs="Times New Roman"/>
          <w:lang w:eastAsia="pl-PL"/>
        </w:rPr>
        <w:t>Szpital utrzymuje wysoki poziom satysfakcji pacjentów w większości obszarów klinicznych. Odsetek pozytywnych ocen w zakresie jakości opieki (B02), respektowania praw pacjenta (E01) oraz ł</w:t>
      </w:r>
      <w:r>
        <w:rPr>
          <w:rFonts w:ascii="Century Gothic" w:eastAsia="Times New Roman" w:hAnsi="Century Gothic" w:cs="Times New Roman"/>
          <w:lang w:eastAsia="pl-PL"/>
        </w:rPr>
        <w:t>agodzenia bólu (B03) mieści się</w:t>
      </w:r>
      <w:r>
        <w:rPr>
          <w:rFonts w:ascii="Century Gothic" w:eastAsia="Times New Roman" w:hAnsi="Century Gothic" w:cs="Times New Roman"/>
          <w:lang w:eastAsia="pl-PL"/>
        </w:rPr>
        <w:br/>
      </w:r>
      <w:r w:rsidRPr="008D19E0">
        <w:rPr>
          <w:rFonts w:ascii="Century Gothic" w:eastAsia="Times New Roman" w:hAnsi="Century Gothic" w:cs="Times New Roman"/>
          <w:lang w:eastAsia="pl-PL"/>
        </w:rPr>
        <w:t xml:space="preserve">w przedziale 71–75%. Wynik ten przekłada się na wysoką ogólną rekomendację placówki (F01) – </w:t>
      </w:r>
      <w:r w:rsidRPr="008D19E0">
        <w:rPr>
          <w:rFonts w:ascii="Century Gothic" w:eastAsia="Times New Roman" w:hAnsi="Century Gothic" w:cs="Times New Roman"/>
          <w:b/>
          <w:bCs/>
          <w:lang w:eastAsia="pl-PL"/>
        </w:rPr>
        <w:t>72,34%</w:t>
      </w:r>
    </w:p>
    <w:p w:rsidR="008D19E0" w:rsidRDefault="003B7849" w:rsidP="003B7849">
      <w:pPr>
        <w:pStyle w:val="Akapitzlist"/>
        <w:numPr>
          <w:ilvl w:val="0"/>
          <w:numId w:val="12"/>
        </w:numPr>
        <w:spacing w:after="60"/>
        <w:ind w:left="357" w:hanging="357"/>
        <w:contextualSpacing w:val="0"/>
        <w:jc w:val="both"/>
        <w:rPr>
          <w:rFonts w:ascii="Century Gothic" w:eastAsia="Times New Roman" w:hAnsi="Century Gothic" w:cs="Times New Roman"/>
          <w:lang w:eastAsia="pl-PL"/>
        </w:rPr>
      </w:pPr>
      <w:r w:rsidRPr="003B7849">
        <w:rPr>
          <w:rFonts w:ascii="Century Gothic" w:eastAsia="Times New Roman" w:hAnsi="Century Gothic" w:cs="Times New Roman"/>
          <w:b/>
          <w:bCs/>
          <w:lang w:eastAsia="pl-PL"/>
        </w:rPr>
        <w:t xml:space="preserve">Lider jakości </w:t>
      </w:r>
      <w:r w:rsidR="008D19E0">
        <w:rPr>
          <w:rFonts w:ascii="Century Gothic" w:eastAsia="Times New Roman" w:hAnsi="Century Gothic" w:cs="Times New Roman"/>
          <w:b/>
          <w:bCs/>
          <w:lang w:eastAsia="pl-PL"/>
        </w:rPr>
        <w:t xml:space="preserve">- </w:t>
      </w:r>
      <w:r w:rsidRPr="003B7849">
        <w:rPr>
          <w:rFonts w:ascii="Century Gothic" w:eastAsia="Times New Roman" w:hAnsi="Century Gothic" w:cs="Times New Roman"/>
          <w:b/>
          <w:bCs/>
          <w:lang w:eastAsia="pl-PL"/>
        </w:rPr>
        <w:t>Czystość</w:t>
      </w:r>
      <w:r w:rsidR="008D19E0">
        <w:rPr>
          <w:rFonts w:ascii="Century Gothic" w:eastAsia="Times New Roman" w:hAnsi="Century Gothic" w:cs="Times New Roman"/>
          <w:b/>
          <w:bCs/>
          <w:lang w:eastAsia="pl-PL"/>
        </w:rPr>
        <w:t xml:space="preserve"> </w:t>
      </w:r>
      <w:r w:rsidR="008D19E0" w:rsidRPr="003B7849">
        <w:rPr>
          <w:rFonts w:ascii="Century Gothic" w:eastAsia="Times New Roman" w:hAnsi="Century Gothic" w:cs="Times New Roman"/>
          <w:b/>
          <w:bCs/>
          <w:lang w:eastAsia="pl-PL"/>
        </w:rPr>
        <w:t>(D02</w:t>
      </w:r>
      <w:r w:rsidRPr="003B7849">
        <w:rPr>
          <w:rFonts w:ascii="Century Gothic" w:eastAsia="Times New Roman" w:hAnsi="Century Gothic" w:cs="Times New Roman"/>
          <w:b/>
          <w:bCs/>
          <w:lang w:eastAsia="pl-PL"/>
        </w:rPr>
        <w:t>):</w:t>
      </w:r>
      <w:r w:rsidRPr="003B7849">
        <w:rPr>
          <w:rFonts w:ascii="Century Gothic" w:eastAsia="Times New Roman" w:hAnsi="Century Gothic" w:cs="Times New Roman"/>
          <w:lang w:eastAsia="pl-PL"/>
        </w:rPr>
        <w:t xml:space="preserve"> </w:t>
      </w:r>
    </w:p>
    <w:p w:rsidR="008D19E0" w:rsidRPr="008D19E0" w:rsidRDefault="008D19E0" w:rsidP="008D19E0">
      <w:pPr>
        <w:pStyle w:val="Akapitzlist"/>
        <w:spacing w:after="60"/>
        <w:ind w:left="357"/>
        <w:contextualSpacing w:val="0"/>
        <w:jc w:val="both"/>
        <w:rPr>
          <w:rFonts w:ascii="Century Gothic" w:eastAsia="Times New Roman" w:hAnsi="Century Gothic" w:cs="Times New Roman"/>
          <w:lang w:eastAsia="pl-PL"/>
        </w:rPr>
      </w:pPr>
      <w:r w:rsidRPr="008D19E0">
        <w:rPr>
          <w:rFonts w:ascii="Century Gothic" w:eastAsia="Times New Roman" w:hAnsi="Century Gothic" w:cs="Times New Roman"/>
          <w:lang w:eastAsia="pl-PL"/>
        </w:rPr>
        <w:t xml:space="preserve">Czystość stanowi najmocniejszą stronę Szpitala – </w:t>
      </w:r>
      <w:r w:rsidRPr="008D19E0">
        <w:rPr>
          <w:rFonts w:ascii="Century Gothic" w:eastAsia="Times New Roman" w:hAnsi="Century Gothic" w:cs="Times New Roman"/>
          <w:b/>
          <w:bCs/>
          <w:lang w:eastAsia="pl-PL"/>
        </w:rPr>
        <w:t>75,43%</w:t>
      </w:r>
      <w:r w:rsidRPr="008D19E0">
        <w:rPr>
          <w:rFonts w:ascii="Century Gothic" w:eastAsia="Times New Roman" w:hAnsi="Century Gothic" w:cs="Times New Roman"/>
          <w:lang w:eastAsia="pl-PL"/>
        </w:rPr>
        <w:t xml:space="preserve"> pozytywnych ocen przy najniższym odsetku opinii negatywnych (</w:t>
      </w:r>
      <w:r w:rsidRPr="008D19E0">
        <w:rPr>
          <w:rFonts w:ascii="Century Gothic" w:eastAsia="Times New Roman" w:hAnsi="Century Gothic" w:cs="Times New Roman"/>
          <w:b/>
          <w:bCs/>
          <w:lang w:eastAsia="pl-PL"/>
        </w:rPr>
        <w:t>13,13%</w:t>
      </w:r>
      <w:r w:rsidRPr="008D19E0">
        <w:rPr>
          <w:rFonts w:ascii="Century Gothic" w:eastAsia="Times New Roman" w:hAnsi="Century Gothic" w:cs="Times New Roman"/>
          <w:lang w:eastAsia="pl-PL"/>
        </w:rPr>
        <w:t>). Wskaźnik ten potwierdza skuteczność działań w zakresie utrzymania standardów higieny.</w:t>
      </w:r>
    </w:p>
    <w:p w:rsidR="008D19E0" w:rsidRDefault="003B7849" w:rsidP="008D19E0">
      <w:pPr>
        <w:pStyle w:val="Akapitzlist"/>
        <w:numPr>
          <w:ilvl w:val="0"/>
          <w:numId w:val="12"/>
        </w:numPr>
        <w:spacing w:after="60"/>
        <w:contextualSpacing w:val="0"/>
        <w:jc w:val="both"/>
        <w:rPr>
          <w:rFonts w:ascii="Century Gothic" w:eastAsia="Times New Roman" w:hAnsi="Century Gothic" w:cs="Times New Roman"/>
          <w:lang w:eastAsia="pl-PL"/>
        </w:rPr>
      </w:pPr>
      <w:r w:rsidRPr="003B7849">
        <w:rPr>
          <w:rFonts w:ascii="Century Gothic" w:eastAsia="Times New Roman" w:hAnsi="Century Gothic" w:cs="Times New Roman"/>
          <w:b/>
          <w:bCs/>
          <w:lang w:eastAsia="pl-PL"/>
        </w:rPr>
        <w:t xml:space="preserve">Największe ryzyko systemowe </w:t>
      </w:r>
      <w:r w:rsidR="008D19E0">
        <w:rPr>
          <w:rFonts w:ascii="Century Gothic" w:eastAsia="Times New Roman" w:hAnsi="Century Gothic" w:cs="Times New Roman"/>
          <w:b/>
          <w:bCs/>
          <w:lang w:eastAsia="pl-PL"/>
        </w:rPr>
        <w:t xml:space="preserve">– </w:t>
      </w:r>
      <w:r w:rsidRPr="003B7849">
        <w:rPr>
          <w:rFonts w:ascii="Century Gothic" w:eastAsia="Times New Roman" w:hAnsi="Century Gothic" w:cs="Times New Roman"/>
          <w:b/>
          <w:bCs/>
          <w:lang w:eastAsia="pl-PL"/>
        </w:rPr>
        <w:t>Wyżywienie</w:t>
      </w:r>
      <w:r w:rsidR="008D19E0">
        <w:rPr>
          <w:rFonts w:ascii="Century Gothic" w:eastAsia="Times New Roman" w:hAnsi="Century Gothic" w:cs="Times New Roman"/>
          <w:b/>
          <w:bCs/>
          <w:lang w:eastAsia="pl-PL"/>
        </w:rPr>
        <w:t xml:space="preserve"> </w:t>
      </w:r>
      <w:r w:rsidR="008D19E0" w:rsidRPr="003B7849">
        <w:rPr>
          <w:rFonts w:ascii="Century Gothic" w:eastAsia="Times New Roman" w:hAnsi="Century Gothic" w:cs="Times New Roman"/>
          <w:b/>
          <w:bCs/>
          <w:lang w:eastAsia="pl-PL"/>
        </w:rPr>
        <w:t>(D01</w:t>
      </w:r>
      <w:r w:rsidRPr="003B7849">
        <w:rPr>
          <w:rFonts w:ascii="Century Gothic" w:eastAsia="Times New Roman" w:hAnsi="Century Gothic" w:cs="Times New Roman"/>
          <w:b/>
          <w:bCs/>
          <w:lang w:eastAsia="pl-PL"/>
        </w:rPr>
        <w:t>):</w:t>
      </w:r>
      <w:r w:rsidRPr="003B7849">
        <w:rPr>
          <w:rFonts w:ascii="Century Gothic" w:eastAsia="Times New Roman" w:hAnsi="Century Gothic" w:cs="Times New Roman"/>
          <w:lang w:eastAsia="pl-PL"/>
        </w:rPr>
        <w:t xml:space="preserve"> </w:t>
      </w:r>
    </w:p>
    <w:p w:rsidR="008D19E0" w:rsidRPr="008D19E0" w:rsidRDefault="008D19E0" w:rsidP="008D19E0">
      <w:pPr>
        <w:pStyle w:val="Akapitzlist"/>
        <w:spacing w:after="60"/>
        <w:ind w:left="357"/>
        <w:contextualSpacing w:val="0"/>
        <w:jc w:val="both"/>
        <w:rPr>
          <w:rFonts w:ascii="Century Gothic" w:eastAsia="Times New Roman" w:hAnsi="Century Gothic" w:cs="Times New Roman"/>
          <w:lang w:eastAsia="pl-PL"/>
        </w:rPr>
      </w:pPr>
      <w:r w:rsidRPr="008D19E0">
        <w:rPr>
          <w:rFonts w:ascii="Century Gothic" w:eastAsia="Times New Roman" w:hAnsi="Century Gothic" w:cs="Times New Roman"/>
          <w:lang w:eastAsia="pl-PL"/>
        </w:rPr>
        <w:t>Obszar żywienia pacjentów pozostaje największym i najbardziej pilnym wyzwaniem. Jest to najniżej oceniany wskaźnik (</w:t>
      </w:r>
      <w:r w:rsidRPr="008D19E0">
        <w:rPr>
          <w:rFonts w:ascii="Century Gothic" w:eastAsia="Times New Roman" w:hAnsi="Century Gothic" w:cs="Times New Roman"/>
          <w:b/>
          <w:bCs/>
          <w:lang w:eastAsia="pl-PL"/>
        </w:rPr>
        <w:t>61,28%</w:t>
      </w:r>
      <w:r w:rsidRPr="008D19E0">
        <w:rPr>
          <w:rFonts w:ascii="Century Gothic" w:eastAsia="Times New Roman" w:hAnsi="Century Gothic" w:cs="Times New Roman"/>
          <w:lang w:eastAsia="pl-PL"/>
        </w:rPr>
        <w:t xml:space="preserve"> pozytywnych opinii) oraz obszar z najwyższym poziomem niezadowolenia (</w:t>
      </w:r>
      <w:r w:rsidRPr="008D19E0">
        <w:rPr>
          <w:rFonts w:ascii="Century Gothic" w:eastAsia="Times New Roman" w:hAnsi="Century Gothic" w:cs="Times New Roman"/>
          <w:b/>
          <w:bCs/>
          <w:lang w:eastAsia="pl-PL"/>
        </w:rPr>
        <w:t>21,07%</w:t>
      </w:r>
      <w:r w:rsidRPr="008D19E0">
        <w:rPr>
          <w:rFonts w:ascii="Century Gothic" w:eastAsia="Times New Roman" w:hAnsi="Century Gothic" w:cs="Times New Roman"/>
          <w:lang w:eastAsia="pl-PL"/>
        </w:rPr>
        <w:t xml:space="preserve"> negatywnych ocen).</w:t>
      </w:r>
    </w:p>
    <w:p w:rsidR="008D19E0" w:rsidRPr="008D19E0" w:rsidRDefault="003B7849" w:rsidP="003B7849">
      <w:pPr>
        <w:pStyle w:val="Akapitzlist"/>
        <w:numPr>
          <w:ilvl w:val="0"/>
          <w:numId w:val="12"/>
        </w:numPr>
        <w:spacing w:after="60"/>
        <w:ind w:left="357" w:hanging="357"/>
        <w:contextualSpacing w:val="0"/>
        <w:jc w:val="both"/>
        <w:rPr>
          <w:rFonts w:ascii="Century Gothic" w:eastAsia="Times New Roman" w:hAnsi="Century Gothic" w:cs="Times New Roman"/>
          <w:color w:val="FF0000"/>
          <w:lang w:eastAsia="pl-PL"/>
        </w:rPr>
      </w:pPr>
      <w:r w:rsidRPr="003B7849">
        <w:rPr>
          <w:rFonts w:ascii="Century Gothic" w:eastAsia="Times New Roman" w:hAnsi="Century Gothic" w:cs="Times New Roman"/>
          <w:b/>
          <w:bCs/>
          <w:lang w:eastAsia="pl-PL"/>
        </w:rPr>
        <w:t xml:space="preserve">Kryzys relacyjny </w:t>
      </w:r>
      <w:r w:rsidR="008D19E0">
        <w:rPr>
          <w:rFonts w:ascii="Century Gothic" w:eastAsia="Times New Roman" w:hAnsi="Century Gothic" w:cs="Times New Roman"/>
          <w:b/>
          <w:bCs/>
          <w:lang w:eastAsia="pl-PL"/>
        </w:rPr>
        <w:t xml:space="preserve">- </w:t>
      </w:r>
      <w:r w:rsidR="008D19E0" w:rsidRPr="008D19E0">
        <w:rPr>
          <w:rFonts w:ascii="Century Gothic" w:eastAsia="Times New Roman" w:hAnsi="Century Gothic" w:cs="Times New Roman"/>
          <w:b/>
          <w:bCs/>
          <w:lang w:eastAsia="pl-PL"/>
        </w:rPr>
        <w:t>Uwzględnianie zdania pacjenta</w:t>
      </w:r>
      <w:r w:rsidR="008D19E0" w:rsidRPr="003B7849">
        <w:rPr>
          <w:rFonts w:ascii="Century Gothic" w:eastAsia="Times New Roman" w:hAnsi="Century Gothic" w:cs="Times New Roman"/>
          <w:b/>
          <w:bCs/>
          <w:lang w:eastAsia="pl-PL"/>
        </w:rPr>
        <w:t xml:space="preserve"> </w:t>
      </w:r>
      <w:r w:rsidRPr="003B7849">
        <w:rPr>
          <w:rFonts w:ascii="Century Gothic" w:eastAsia="Times New Roman" w:hAnsi="Century Gothic" w:cs="Times New Roman"/>
          <w:b/>
          <w:bCs/>
          <w:lang w:eastAsia="pl-PL"/>
        </w:rPr>
        <w:t>(B01):</w:t>
      </w:r>
    </w:p>
    <w:p w:rsidR="008D19E0" w:rsidRPr="008D19E0" w:rsidRDefault="008D19E0" w:rsidP="008D19E0">
      <w:pPr>
        <w:pStyle w:val="Akapitzlist"/>
        <w:spacing w:after="60"/>
        <w:ind w:left="357"/>
        <w:contextualSpacing w:val="0"/>
        <w:jc w:val="both"/>
        <w:rPr>
          <w:rFonts w:ascii="Century Gothic" w:eastAsia="Times New Roman" w:hAnsi="Century Gothic" w:cs="Times New Roman"/>
          <w:lang w:eastAsia="pl-PL"/>
        </w:rPr>
      </w:pPr>
      <w:r w:rsidRPr="008D19E0">
        <w:rPr>
          <w:rFonts w:ascii="Century Gothic" w:eastAsia="Times New Roman" w:hAnsi="Century Gothic" w:cs="Times New Roman"/>
          <w:lang w:eastAsia="pl-PL"/>
        </w:rPr>
        <w:t xml:space="preserve">Drugim kluczowym problemem jest niedostateczne uwzględnianie opinii pacjentów w procesie leczenia. Wskaźnik ten notuje </w:t>
      </w:r>
      <w:r w:rsidRPr="008D19E0">
        <w:rPr>
          <w:rFonts w:ascii="Century Gothic" w:eastAsia="Times New Roman" w:hAnsi="Century Gothic" w:cs="Times New Roman"/>
          <w:b/>
          <w:bCs/>
          <w:lang w:eastAsia="pl-PL"/>
        </w:rPr>
        <w:t>19,74%</w:t>
      </w:r>
      <w:r w:rsidRPr="008D19E0">
        <w:rPr>
          <w:rFonts w:ascii="Century Gothic" w:eastAsia="Times New Roman" w:hAnsi="Century Gothic" w:cs="Times New Roman"/>
          <w:lang w:eastAsia="pl-PL"/>
        </w:rPr>
        <w:t xml:space="preserve"> negatywnych ocen, co wskazuje na istotną lukę relacyjną pomiędzy personelem a pacjentami.</w:t>
      </w:r>
    </w:p>
    <w:p w:rsidR="008D19E0" w:rsidRDefault="003B7849" w:rsidP="003B7849">
      <w:pPr>
        <w:pStyle w:val="Akapitzlist"/>
        <w:numPr>
          <w:ilvl w:val="0"/>
          <w:numId w:val="12"/>
        </w:numPr>
        <w:spacing w:after="60"/>
        <w:ind w:left="357" w:hanging="357"/>
        <w:contextualSpacing w:val="0"/>
        <w:jc w:val="both"/>
        <w:rPr>
          <w:rFonts w:ascii="Century Gothic" w:eastAsia="Times New Roman" w:hAnsi="Century Gothic" w:cs="Times New Roman"/>
          <w:lang w:eastAsia="pl-PL"/>
        </w:rPr>
      </w:pPr>
      <w:r w:rsidRPr="003B7849">
        <w:rPr>
          <w:rFonts w:ascii="Century Gothic" w:eastAsia="Times New Roman" w:hAnsi="Century Gothic" w:cs="Times New Roman"/>
          <w:b/>
          <w:bCs/>
          <w:lang w:eastAsia="pl-PL"/>
        </w:rPr>
        <w:t>Luka komunikacyjna:</w:t>
      </w:r>
      <w:r w:rsidRPr="003B7849">
        <w:rPr>
          <w:rFonts w:ascii="Century Gothic" w:eastAsia="Times New Roman" w:hAnsi="Century Gothic" w:cs="Times New Roman"/>
          <w:lang w:eastAsia="pl-PL"/>
        </w:rPr>
        <w:t xml:space="preserve"> </w:t>
      </w:r>
    </w:p>
    <w:p w:rsidR="00EE5494" w:rsidRDefault="008D19E0" w:rsidP="008D19E0">
      <w:pPr>
        <w:spacing w:after="60"/>
        <w:ind w:left="357"/>
        <w:jc w:val="both"/>
        <w:rPr>
          <w:rFonts w:ascii="Century Gothic" w:eastAsia="Times New Roman" w:hAnsi="Century Gothic" w:cs="Times New Roman"/>
          <w:lang w:eastAsia="pl-PL"/>
        </w:rPr>
      </w:pPr>
      <w:r w:rsidRPr="008D19E0">
        <w:rPr>
          <w:rFonts w:ascii="Century Gothic" w:eastAsia="Times New Roman" w:hAnsi="Century Gothic" w:cs="Times New Roman"/>
          <w:lang w:eastAsia="pl-PL"/>
        </w:rPr>
        <w:t>Choć zrozumiałość zaleceń po wypisie (C02) utrzymuje się na dobrym poziomie (</w:t>
      </w:r>
      <w:r w:rsidRPr="008D19E0">
        <w:rPr>
          <w:rFonts w:ascii="Century Gothic" w:eastAsia="Times New Roman" w:hAnsi="Century Gothic" w:cs="Times New Roman"/>
          <w:b/>
          <w:bCs/>
          <w:lang w:eastAsia="pl-PL"/>
        </w:rPr>
        <w:t>14,34%</w:t>
      </w:r>
      <w:r w:rsidRPr="008D19E0">
        <w:rPr>
          <w:rFonts w:ascii="Century Gothic" w:eastAsia="Times New Roman" w:hAnsi="Century Gothic" w:cs="Times New Roman"/>
          <w:lang w:eastAsia="pl-PL"/>
        </w:rPr>
        <w:t xml:space="preserve"> negatywnych ocen), bieżąca komunikacja dotycząca stanu zdrowia (C01) jest słabsza (</w:t>
      </w:r>
      <w:r w:rsidRPr="008D19E0">
        <w:rPr>
          <w:rFonts w:ascii="Century Gothic" w:eastAsia="Times New Roman" w:hAnsi="Century Gothic" w:cs="Times New Roman"/>
          <w:b/>
          <w:bCs/>
          <w:lang w:eastAsia="pl-PL"/>
        </w:rPr>
        <w:t>17,98%</w:t>
      </w:r>
      <w:r w:rsidRPr="008D19E0">
        <w:rPr>
          <w:rFonts w:ascii="Century Gothic" w:eastAsia="Times New Roman" w:hAnsi="Century Gothic" w:cs="Times New Roman"/>
          <w:lang w:eastAsia="pl-PL"/>
        </w:rPr>
        <w:t xml:space="preserve"> negatywnych opinii). Wymaga to</w:t>
      </w:r>
      <w:r>
        <w:t xml:space="preserve"> </w:t>
      </w:r>
      <w:r w:rsidRPr="008D19E0">
        <w:rPr>
          <w:rFonts w:ascii="Century Gothic" w:eastAsia="Times New Roman" w:hAnsi="Century Gothic" w:cs="Times New Roman"/>
          <w:lang w:eastAsia="pl-PL"/>
        </w:rPr>
        <w:t>wzmocnienia codziennej komunikacji personelu z pacjentem.</w:t>
      </w:r>
    </w:p>
    <w:p w:rsidR="00EE5494" w:rsidRPr="00EE5494" w:rsidRDefault="00EE5494" w:rsidP="00EE5494">
      <w:pPr>
        <w:spacing w:after="60"/>
        <w:jc w:val="both"/>
        <w:rPr>
          <w:rFonts w:ascii="Century Gothic" w:eastAsia="Times New Roman" w:hAnsi="Century Gothic" w:cs="Times New Roman"/>
          <w:lang w:eastAsia="pl-PL"/>
        </w:rPr>
      </w:pPr>
    </w:p>
    <w:p w:rsidR="00B36EBC" w:rsidRDefault="00ED030F" w:rsidP="00B36EBC">
      <w:pPr>
        <w:spacing w:after="120"/>
      </w:pPr>
      <w:r>
        <w:rPr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66.05pt;margin-top:8.3pt;width:161.65pt;height:63.85pt;z-index:251658240" stroked="f">
            <v:textbox>
              <w:txbxContent>
                <w:p w:rsidR="00A7199A" w:rsidRPr="003B7849" w:rsidRDefault="00A7199A" w:rsidP="00A7199A">
                  <w:pPr>
                    <w:spacing w:after="0" w:line="240" w:lineRule="auto"/>
                    <w:jc w:val="right"/>
                    <w:rPr>
                      <w:rFonts w:ascii="Century Gothic" w:eastAsia="Times New Roman" w:hAnsi="Century Gothic" w:cs="Times New Roman"/>
                      <w:sz w:val="18"/>
                      <w:szCs w:val="18"/>
                      <w:lang w:eastAsia="pl-PL"/>
                    </w:rPr>
                  </w:pPr>
                  <w:r w:rsidRPr="003B7849">
                    <w:rPr>
                      <w:rFonts w:ascii="Century Gothic" w:eastAsia="Times New Roman" w:hAnsi="Century Gothic" w:cs="Times New Roman"/>
                      <w:sz w:val="18"/>
                      <w:szCs w:val="18"/>
                      <w:lang w:eastAsia="pl-PL"/>
                    </w:rPr>
                    <w:t>Opracowała:</w:t>
                  </w:r>
                </w:p>
                <w:p w:rsidR="00A7199A" w:rsidRPr="003B7849" w:rsidRDefault="00A7199A" w:rsidP="00A7199A">
                  <w:pPr>
                    <w:spacing w:after="0" w:line="240" w:lineRule="auto"/>
                    <w:jc w:val="right"/>
                    <w:rPr>
                      <w:rFonts w:ascii="Century Gothic" w:eastAsia="Times New Roman" w:hAnsi="Century Gothic" w:cs="Times New Roman"/>
                      <w:sz w:val="18"/>
                      <w:szCs w:val="18"/>
                      <w:lang w:eastAsia="pl-PL"/>
                    </w:rPr>
                  </w:pPr>
                  <w:r w:rsidRPr="003B7849">
                    <w:rPr>
                      <w:rFonts w:ascii="Century Gothic" w:eastAsia="Times New Roman" w:hAnsi="Century Gothic" w:cs="Times New Roman"/>
                      <w:sz w:val="18"/>
                      <w:szCs w:val="18"/>
                      <w:lang w:eastAsia="pl-PL"/>
                    </w:rPr>
                    <w:t>mgr Małgorzata Głuchowska</w:t>
                  </w:r>
                </w:p>
                <w:p w:rsidR="00A7199A" w:rsidRPr="003B7849" w:rsidRDefault="00A7199A" w:rsidP="00A7199A">
                  <w:pPr>
                    <w:spacing w:after="0" w:line="240" w:lineRule="auto"/>
                    <w:jc w:val="right"/>
                    <w:rPr>
                      <w:rFonts w:ascii="Century Gothic" w:eastAsia="Times New Roman" w:hAnsi="Century Gothic" w:cs="Times New Roman"/>
                      <w:sz w:val="18"/>
                      <w:szCs w:val="18"/>
                      <w:lang w:eastAsia="pl-PL"/>
                    </w:rPr>
                  </w:pPr>
                  <w:r w:rsidRPr="003B7849">
                    <w:rPr>
                      <w:rFonts w:ascii="Century Gothic" w:eastAsia="Times New Roman" w:hAnsi="Century Gothic" w:cs="Times New Roman"/>
                      <w:sz w:val="18"/>
                      <w:szCs w:val="18"/>
                      <w:lang w:eastAsia="pl-PL"/>
                    </w:rPr>
                    <w:t>Dział Obsługi Pacjenta,</w:t>
                  </w:r>
                </w:p>
                <w:p w:rsidR="00A7199A" w:rsidRPr="003B7849" w:rsidRDefault="00A7199A" w:rsidP="00A7199A">
                  <w:pPr>
                    <w:spacing w:after="0" w:line="240" w:lineRule="auto"/>
                    <w:jc w:val="right"/>
                    <w:rPr>
                      <w:rFonts w:ascii="Century Gothic" w:eastAsia="Times New Roman" w:hAnsi="Century Gothic" w:cs="Times New Roman"/>
                      <w:sz w:val="18"/>
                      <w:szCs w:val="18"/>
                      <w:lang w:eastAsia="pl-PL"/>
                    </w:rPr>
                  </w:pPr>
                  <w:r w:rsidRPr="003B7849">
                    <w:rPr>
                      <w:rFonts w:ascii="Century Gothic" w:eastAsia="Times New Roman" w:hAnsi="Century Gothic" w:cs="Times New Roman"/>
                      <w:sz w:val="18"/>
                      <w:szCs w:val="18"/>
                      <w:lang w:eastAsia="pl-PL"/>
                    </w:rPr>
                    <w:t>Controllingu Medycznego</w:t>
                  </w:r>
                </w:p>
                <w:p w:rsidR="00A7199A" w:rsidRPr="003B7849" w:rsidRDefault="00A7199A" w:rsidP="00A7199A">
                  <w:pPr>
                    <w:spacing w:after="0" w:line="240" w:lineRule="auto"/>
                    <w:jc w:val="right"/>
                    <w:rPr>
                      <w:sz w:val="18"/>
                      <w:szCs w:val="18"/>
                    </w:rPr>
                  </w:pPr>
                  <w:r w:rsidRPr="003B7849">
                    <w:rPr>
                      <w:rFonts w:ascii="Century Gothic" w:eastAsia="Times New Roman" w:hAnsi="Century Gothic" w:cs="Times New Roman"/>
                      <w:sz w:val="18"/>
                      <w:szCs w:val="18"/>
                      <w:lang w:eastAsia="pl-PL"/>
                    </w:rPr>
                    <w:t>i Zarządzania Jakością</w:t>
                  </w:r>
                </w:p>
                <w:p w:rsidR="00A7199A" w:rsidRPr="003B7849" w:rsidRDefault="00A7199A" w:rsidP="00A7199A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sectPr w:rsidR="00B36EBC" w:rsidSect="00156C7C">
      <w:headerReference w:type="even" r:id="rId20"/>
      <w:headerReference w:type="default" r:id="rId21"/>
      <w:footerReference w:type="default" r:id="rId22"/>
      <w:pgSz w:w="11906" w:h="16838"/>
      <w:pgMar w:top="2096" w:right="1417" w:bottom="1276" w:left="1417" w:header="284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03D" w:rsidRDefault="0099703D" w:rsidP="00B34CED">
      <w:pPr>
        <w:spacing w:after="0" w:line="240" w:lineRule="auto"/>
      </w:pPr>
      <w:r>
        <w:separator/>
      </w:r>
    </w:p>
  </w:endnote>
  <w:endnote w:type="continuationSeparator" w:id="0">
    <w:p w:rsidR="0099703D" w:rsidRDefault="0099703D" w:rsidP="00B34C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17654014"/>
      <w:docPartObj>
        <w:docPartGallery w:val="Page Numbers (Bottom of Page)"/>
        <w:docPartUnique/>
      </w:docPartObj>
    </w:sdtPr>
    <w:sdtContent>
      <w:p w:rsidR="00084459" w:rsidRDefault="00ED030F">
        <w:pPr>
          <w:pStyle w:val="Stopka"/>
          <w:jc w:val="right"/>
        </w:pPr>
        <w:r w:rsidRPr="00156C7C">
          <w:rPr>
            <w:rFonts w:ascii="Century Gothic" w:hAnsi="Century Gothic"/>
            <w:sz w:val="16"/>
            <w:szCs w:val="16"/>
          </w:rPr>
          <w:fldChar w:fldCharType="begin"/>
        </w:r>
        <w:r w:rsidR="00084459" w:rsidRPr="00156C7C">
          <w:rPr>
            <w:rFonts w:ascii="Century Gothic" w:hAnsi="Century Gothic"/>
            <w:sz w:val="16"/>
            <w:szCs w:val="16"/>
          </w:rPr>
          <w:instrText xml:space="preserve"> PAGE   \* MERGEFORMAT </w:instrText>
        </w:r>
        <w:r w:rsidRPr="00156C7C">
          <w:rPr>
            <w:rFonts w:ascii="Century Gothic" w:hAnsi="Century Gothic"/>
            <w:sz w:val="16"/>
            <w:szCs w:val="16"/>
          </w:rPr>
          <w:fldChar w:fldCharType="separate"/>
        </w:r>
        <w:r w:rsidR="00EA0290">
          <w:rPr>
            <w:rFonts w:ascii="Century Gothic" w:hAnsi="Century Gothic"/>
            <w:noProof/>
            <w:sz w:val="16"/>
            <w:szCs w:val="16"/>
          </w:rPr>
          <w:t>15</w:t>
        </w:r>
        <w:r w:rsidRPr="00156C7C">
          <w:rPr>
            <w:rFonts w:ascii="Century Gothic" w:hAnsi="Century Gothic"/>
            <w:sz w:val="16"/>
            <w:szCs w:val="16"/>
          </w:rPr>
          <w:fldChar w:fldCharType="end"/>
        </w:r>
      </w:p>
    </w:sdtContent>
  </w:sdt>
  <w:p w:rsidR="00084459" w:rsidRDefault="0008445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03D" w:rsidRDefault="0099703D" w:rsidP="00B34CED">
      <w:pPr>
        <w:spacing w:after="0" w:line="240" w:lineRule="auto"/>
      </w:pPr>
      <w:r>
        <w:separator/>
      </w:r>
    </w:p>
  </w:footnote>
  <w:footnote w:type="continuationSeparator" w:id="0">
    <w:p w:rsidR="0099703D" w:rsidRDefault="0099703D" w:rsidP="00B34C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4459" w:rsidRDefault="00084459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4459" w:rsidRDefault="00084459" w:rsidP="00312838">
    <w:pPr>
      <w:pStyle w:val="Nagwek"/>
      <w:ind w:left="-709" w:right="-880"/>
      <w:jc w:val="center"/>
    </w:pPr>
    <w:r>
      <w:rPr>
        <w:noProof/>
        <w:lang w:eastAsia="pl-PL"/>
      </w:rPr>
      <w:drawing>
        <wp:inline distT="0" distB="0" distL="0" distR="0">
          <wp:extent cx="9874593" cy="648425"/>
          <wp:effectExtent l="19050" t="0" r="0" b="0"/>
          <wp:docPr id="3" name="Obraz 2" descr="szablon informacji ogólnyc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zablon informacji ogólnych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034894" cy="6589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C61A5"/>
    <w:multiLevelType w:val="multilevel"/>
    <w:tmpl w:val="6CE89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586A7A"/>
    <w:multiLevelType w:val="multilevel"/>
    <w:tmpl w:val="4DE4A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523465"/>
    <w:multiLevelType w:val="hybridMultilevel"/>
    <w:tmpl w:val="72D84D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D54ECF"/>
    <w:multiLevelType w:val="multilevel"/>
    <w:tmpl w:val="32D0E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976874"/>
    <w:multiLevelType w:val="hybridMultilevel"/>
    <w:tmpl w:val="4ED0092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23B7271"/>
    <w:multiLevelType w:val="multilevel"/>
    <w:tmpl w:val="65D2B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B34B2D"/>
    <w:multiLevelType w:val="hybridMultilevel"/>
    <w:tmpl w:val="A70E33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ED7B87"/>
    <w:multiLevelType w:val="hybridMultilevel"/>
    <w:tmpl w:val="54548192"/>
    <w:lvl w:ilvl="0" w:tplc="FCF8579C">
      <w:start w:val="1"/>
      <w:numFmt w:val="bullet"/>
      <w:lvlText w:val="-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8F636C"/>
    <w:multiLevelType w:val="multilevel"/>
    <w:tmpl w:val="F844C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F30906"/>
    <w:multiLevelType w:val="multilevel"/>
    <w:tmpl w:val="C19289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>
    <w:nsid w:val="48923E56"/>
    <w:multiLevelType w:val="hybridMultilevel"/>
    <w:tmpl w:val="95323C6E"/>
    <w:lvl w:ilvl="0" w:tplc="47BAFD88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28C6FF1"/>
    <w:multiLevelType w:val="multilevel"/>
    <w:tmpl w:val="96E8A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1756408"/>
    <w:multiLevelType w:val="hybridMultilevel"/>
    <w:tmpl w:val="A8CAD43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8"/>
  </w:num>
  <w:num w:numId="4">
    <w:abstractNumId w:val="9"/>
  </w:num>
  <w:num w:numId="5">
    <w:abstractNumId w:val="5"/>
  </w:num>
  <w:num w:numId="6">
    <w:abstractNumId w:val="0"/>
  </w:num>
  <w:num w:numId="7">
    <w:abstractNumId w:val="11"/>
  </w:num>
  <w:num w:numId="8">
    <w:abstractNumId w:val="1"/>
  </w:num>
  <w:num w:numId="9">
    <w:abstractNumId w:val="3"/>
  </w:num>
  <w:num w:numId="10">
    <w:abstractNumId w:val="6"/>
  </w:num>
  <w:num w:numId="11">
    <w:abstractNumId w:val="4"/>
  </w:num>
  <w:num w:numId="12">
    <w:abstractNumId w:val="10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22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B34CED"/>
    <w:rsid w:val="0000275D"/>
    <w:rsid w:val="000034E6"/>
    <w:rsid w:val="00004E25"/>
    <w:rsid w:val="00084459"/>
    <w:rsid w:val="00094626"/>
    <w:rsid w:val="000C1474"/>
    <w:rsid w:val="000C6BA4"/>
    <w:rsid w:val="000D2804"/>
    <w:rsid w:val="000E1410"/>
    <w:rsid w:val="00152B49"/>
    <w:rsid w:val="00156C7C"/>
    <w:rsid w:val="001B4BB7"/>
    <w:rsid w:val="0020662C"/>
    <w:rsid w:val="0021181E"/>
    <w:rsid w:val="00285AD0"/>
    <w:rsid w:val="002C5494"/>
    <w:rsid w:val="002E57BC"/>
    <w:rsid w:val="002F27CC"/>
    <w:rsid w:val="003022EB"/>
    <w:rsid w:val="00312838"/>
    <w:rsid w:val="00342809"/>
    <w:rsid w:val="003B7849"/>
    <w:rsid w:val="003D3FFC"/>
    <w:rsid w:val="003E0882"/>
    <w:rsid w:val="003E2282"/>
    <w:rsid w:val="0040098B"/>
    <w:rsid w:val="0041150D"/>
    <w:rsid w:val="0042143A"/>
    <w:rsid w:val="00457078"/>
    <w:rsid w:val="00497A2B"/>
    <w:rsid w:val="004C64B5"/>
    <w:rsid w:val="004F057D"/>
    <w:rsid w:val="00560C0A"/>
    <w:rsid w:val="00570DAA"/>
    <w:rsid w:val="005950CE"/>
    <w:rsid w:val="005A1F31"/>
    <w:rsid w:val="005A3430"/>
    <w:rsid w:val="005E153D"/>
    <w:rsid w:val="00600640"/>
    <w:rsid w:val="006116E7"/>
    <w:rsid w:val="006222BA"/>
    <w:rsid w:val="006366C4"/>
    <w:rsid w:val="00640502"/>
    <w:rsid w:val="00672DB8"/>
    <w:rsid w:val="006859B3"/>
    <w:rsid w:val="00695BD5"/>
    <w:rsid w:val="0070334E"/>
    <w:rsid w:val="00720F6D"/>
    <w:rsid w:val="00762606"/>
    <w:rsid w:val="007C32DB"/>
    <w:rsid w:val="007D5687"/>
    <w:rsid w:val="00843CE4"/>
    <w:rsid w:val="00846A5C"/>
    <w:rsid w:val="008D19E0"/>
    <w:rsid w:val="008E436F"/>
    <w:rsid w:val="008F4906"/>
    <w:rsid w:val="009144D7"/>
    <w:rsid w:val="009446A9"/>
    <w:rsid w:val="00987240"/>
    <w:rsid w:val="0099703D"/>
    <w:rsid w:val="009B4C9C"/>
    <w:rsid w:val="009C200F"/>
    <w:rsid w:val="009C4BD4"/>
    <w:rsid w:val="009D4118"/>
    <w:rsid w:val="00A41934"/>
    <w:rsid w:val="00A7199A"/>
    <w:rsid w:val="00A752B1"/>
    <w:rsid w:val="00AC7C72"/>
    <w:rsid w:val="00AF0E41"/>
    <w:rsid w:val="00B05CD5"/>
    <w:rsid w:val="00B34CED"/>
    <w:rsid w:val="00B36EBC"/>
    <w:rsid w:val="00B465C5"/>
    <w:rsid w:val="00B7711B"/>
    <w:rsid w:val="00BB646F"/>
    <w:rsid w:val="00BD2D77"/>
    <w:rsid w:val="00C50DCA"/>
    <w:rsid w:val="00C526FC"/>
    <w:rsid w:val="00C6450C"/>
    <w:rsid w:val="00C83EAB"/>
    <w:rsid w:val="00CC26D9"/>
    <w:rsid w:val="00CE320B"/>
    <w:rsid w:val="00D00C7D"/>
    <w:rsid w:val="00D43A8E"/>
    <w:rsid w:val="00D74C67"/>
    <w:rsid w:val="00D7503C"/>
    <w:rsid w:val="00E17ED3"/>
    <w:rsid w:val="00E27E87"/>
    <w:rsid w:val="00E60FDD"/>
    <w:rsid w:val="00E7316E"/>
    <w:rsid w:val="00EA0290"/>
    <w:rsid w:val="00ED030F"/>
    <w:rsid w:val="00EE5494"/>
    <w:rsid w:val="00F12DCE"/>
    <w:rsid w:val="00F55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7849"/>
  </w:style>
  <w:style w:type="paragraph" w:styleId="Nagwek2">
    <w:name w:val="heading 2"/>
    <w:basedOn w:val="Normalny"/>
    <w:link w:val="Nagwek2Znak"/>
    <w:uiPriority w:val="9"/>
    <w:qFormat/>
    <w:rsid w:val="006405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64050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64050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34C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4CED"/>
  </w:style>
  <w:style w:type="paragraph" w:styleId="Stopka">
    <w:name w:val="footer"/>
    <w:basedOn w:val="Normalny"/>
    <w:link w:val="StopkaZnak"/>
    <w:uiPriority w:val="99"/>
    <w:unhideWhenUsed/>
    <w:rsid w:val="00B34C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4CED"/>
  </w:style>
  <w:style w:type="paragraph" w:styleId="Tekstdymka">
    <w:name w:val="Balloon Text"/>
    <w:basedOn w:val="Normalny"/>
    <w:link w:val="TekstdymkaZnak"/>
    <w:uiPriority w:val="99"/>
    <w:semiHidden/>
    <w:unhideWhenUsed/>
    <w:rsid w:val="00B34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4CE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D74C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D74C67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640502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640502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640502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640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40502"/>
    <w:rPr>
      <w:b/>
      <w:bCs/>
    </w:rPr>
  </w:style>
  <w:style w:type="character" w:customStyle="1" w:styleId="ng-star-inserted">
    <w:name w:val="ng-star-inserted"/>
    <w:basedOn w:val="Domylnaczcionkaakapitu"/>
    <w:rsid w:val="00E731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50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77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1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9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9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18" Type="http://schemas.openxmlformats.org/officeDocument/2006/relationships/chart" Target="charts/chart12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chart" Target="charts/chart11.xml"/><Relationship Id="rId2" Type="http://schemas.openxmlformats.org/officeDocument/2006/relationships/styles" Target="styles.xml"/><Relationship Id="rId16" Type="http://schemas.openxmlformats.org/officeDocument/2006/relationships/chart" Target="charts/chart10.xm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hart" Target="charts/chart9.xml"/><Relationship Id="rId23" Type="http://schemas.openxmlformats.org/officeDocument/2006/relationships/fontTable" Target="fontTable.xml"/><Relationship Id="rId10" Type="http://schemas.openxmlformats.org/officeDocument/2006/relationships/chart" Target="charts/chart4.xml"/><Relationship Id="rId19" Type="http://schemas.openxmlformats.org/officeDocument/2006/relationships/chart" Target="charts/chart13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8.xml"/><Relationship Id="rId22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4\PACJENT%202024\1-PROGRAM%20-%20analiza-pacjent-2024%20-%20DO%20ZROBIENIA\Kr&#243;tka%20analiza%20na%20stron&#281;%20www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4\PACJENT%202024\1-PROGRAM%20-%20analiza-pacjent-2024%20-%20DO%20ZROBIENIA\Kr&#243;tka%20analiza%20na%20stron&#281;%20www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4\PACJENT%202024\1-PROGRAM%20-%20analiza-pacjent-2024%20-%20DO%20ZROBIENIA\Kr&#243;tka%20analiza%20na%20stron&#281;%20www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4\PACJENT%202024\1-PROGRAM%20-%20analiza-pacjent-2024%20-%20DO%20ZROBIENIA\Kr&#243;tka%20analiza%20na%20stron&#281;%20www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4\PACJENT%202024\1-PROGRAM%20-%20analiza-pacjent-2024%20-%20DO%20ZROBIENIA\Kr&#243;tka%20analiza%20na%20stron&#281;%20www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4\PACJENT%202024\1-PROGRAM%20-%20analiza-pacjent-2024%20-%20DO%20ZROBIENIA\Kr&#243;tka%20analiza%20na%20stron&#281;%20www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4\PACJENT%202024\1-PROGRAM%20-%20analiza-pacjent-2024%20-%20DO%20ZROBIENIA\Kr&#243;tka%20analiza%20na%20stron&#281;%20www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4\PACJENT%202024\1-PROGRAM%20-%20analiza-pacjent-2024%20-%20DO%20ZROBIENIA\Kr&#243;tka%20analiza%20na%20stron&#281;%20www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4\PACJENT%202024\1-PROGRAM%20-%20analiza-pacjent-2024%20-%20DO%20ZROBIENIA\Kr&#243;tka%20analiza%20na%20stron&#281;%20www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4\PACJENT%202024\1-PROGRAM%20-%20analiza-pacjent-2024%20-%20DO%20ZROBIENIA\Kr&#243;tka%20analiza%20na%20stron&#281;%20www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4\PACJENT%202024\1-PROGRAM%20-%20analiza-pacjent-2024%20-%20DO%20ZROBIENIA\Kr&#243;tka%20analiza%20na%20stron&#281;%20www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4\PACJENT%202024\1-PROGRAM%20-%20analiza-pacjent-2024%20-%20DO%20ZROBIENIA\Kr&#243;tka%20analiza%20na%20stron&#281;%20www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4\PACJENT%202024\1-PROGRAM%20-%20analiza-pacjent-2024%20-%20DO%20ZROBIENIA\Kr&#243;tka%20analiza%20na%20stron&#281;%20www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A01. Jak oceniasz sprawność procesu przyjęcia do szpitala?</a:t>
            </a:r>
            <a:r>
              <a:rPr lang="pl-PL" sz="1000"/>
              <a:t> (s</a:t>
            </a:r>
            <a:r>
              <a:rPr lang="en-US" sz="1000"/>
              <a:t>kumulowany odsetek</a:t>
            </a:r>
            <a:r>
              <a:rPr lang="pl-PL" sz="1000"/>
              <a:t>)</a:t>
            </a:r>
            <a:endParaRPr lang="en-US" sz="1000"/>
          </a:p>
        </c:rich>
      </c:tx>
      <c:layout>
        <c:manualLayout>
          <c:xMode val="edge"/>
          <c:yMode val="edge"/>
          <c:x val="0.14177615740740829"/>
          <c:y val="0"/>
        </c:manualLayout>
      </c:layout>
    </c:title>
    <c:view3D>
      <c:rotX val="30"/>
      <c:rotY val="80"/>
      <c:perspective val="30"/>
    </c:view3D>
    <c:plotArea>
      <c:layout>
        <c:manualLayout>
          <c:layoutTarget val="inner"/>
          <c:xMode val="edge"/>
          <c:yMode val="edge"/>
          <c:x val="0"/>
          <c:y val="0.14067023809523821"/>
          <c:w val="0.71867378076989985"/>
          <c:h val="0.85932976190476196"/>
        </c:manualLayout>
      </c:layout>
      <c:pie3DChart>
        <c:varyColors val="1"/>
        <c:ser>
          <c:idx val="0"/>
          <c:order val="0"/>
          <c:tx>
            <c:strRef>
              <c:f>Arkusz1!$D$6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1"/>
              <c:layout>
                <c:manualLayout>
                  <c:x val="5.8581481481481533E-2"/>
                  <c:y val="2.8589682539682533E-2"/>
                </c:manualLayout>
              </c:layout>
              <c:showVal val="1"/>
            </c:dLbl>
            <c:dLbl>
              <c:idx val="2"/>
              <c:layout>
                <c:manualLayout>
                  <c:x val="-5.9537037037037575E-2"/>
                  <c:y val="1.7788492063492093E-2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Arkusz1!$C$7:$C$9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Arkusz1!$D$7:$D$9</c:f>
              <c:numCache>
                <c:formatCode>0.00%</c:formatCode>
                <c:ptCount val="3"/>
                <c:pt idx="0">
                  <c:v>0.67190000000000305</c:v>
                </c:pt>
                <c:pt idx="1">
                  <c:v>0.1406</c:v>
                </c:pt>
                <c:pt idx="2">
                  <c:v>0.18750000000000044</c:v>
                </c:pt>
              </c:numCache>
            </c:numRef>
          </c:val>
        </c:ser>
      </c:pie3DChart>
    </c:plotArea>
    <c:legend>
      <c:legendPos val="r"/>
    </c:legend>
    <c:plotVisOnly val="1"/>
  </c:chart>
  <c:spPr>
    <a:noFill/>
  </c:spPr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B01. Jak oceniasz uwzględnianie przez personel medyczny Twojego zdania</a:t>
            </a:r>
            <a:r>
              <a:rPr lang="pl-PL" sz="1000"/>
              <a:t>   w procesie leczenia? (s</a:t>
            </a:r>
            <a:r>
              <a:rPr lang="en-US" sz="1000"/>
              <a:t>kumulowany odsetek</a:t>
            </a:r>
            <a:r>
              <a:rPr lang="pl-PL" sz="1000"/>
              <a:t>)</a:t>
            </a:r>
            <a:endParaRPr lang="en-US" sz="1000"/>
          </a:p>
        </c:rich>
      </c:tx>
      <c:layout>
        <c:manualLayout>
          <c:xMode val="edge"/>
          <c:yMode val="edge"/>
          <c:x val="0.1222411458333337"/>
          <c:y val="0"/>
        </c:manualLayout>
      </c:layout>
    </c:title>
    <c:view3D>
      <c:rotX val="30"/>
      <c:rotY val="80"/>
      <c:perspective val="30"/>
    </c:view3D>
    <c:plotArea>
      <c:layout>
        <c:manualLayout>
          <c:layoutTarget val="inner"/>
          <c:xMode val="edge"/>
          <c:yMode val="edge"/>
          <c:x val="0"/>
          <c:y val="0.18079880952380981"/>
          <c:w val="0.73332475915185924"/>
          <c:h val="0.80020158730158764"/>
        </c:manualLayout>
      </c:layout>
      <c:pie3DChart>
        <c:varyColors val="1"/>
        <c:ser>
          <c:idx val="0"/>
          <c:order val="0"/>
          <c:tx>
            <c:strRef>
              <c:f>Arkusz1!$D$34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4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67,9</a:t>
                    </a:r>
                    <a:r>
                      <a:rPr lang="pl-PL"/>
                      <a:t>1</a:t>
                    </a:r>
                    <a:r>
                      <a:rPr lang="en-US"/>
                      <a:t>%</a:t>
                    </a:r>
                  </a:p>
                </c:rich>
              </c:tx>
              <c:showPercent val="1"/>
            </c:dLbl>
            <c:dLbl>
              <c:idx val="1"/>
              <c:layout>
                <c:manualLayout>
                  <c:x val="5.7527951388888894E-2"/>
                  <c:y val="3.928977420868749E-2"/>
                </c:manualLayout>
              </c:layout>
              <c:showPercent val="1"/>
            </c:dLbl>
            <c:dLbl>
              <c:idx val="2"/>
              <c:layout>
                <c:manualLayout>
                  <c:x val="-6.6525260416666662E-2"/>
                  <c:y val="2.6170586292607427E-2"/>
                </c:manualLayout>
              </c:layout>
              <c:showPercent val="1"/>
            </c:dLbl>
            <c:numFmt formatCode="0.00%" sourceLinked="0"/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Percent val="1"/>
            <c:showLeaderLines val="1"/>
          </c:dLbls>
          <c:cat>
            <c:strRef>
              <c:f>Arkusz1!$C$35:$C$37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Arkusz1!$D$35:$D$37</c:f>
              <c:numCache>
                <c:formatCode>0.00%</c:formatCode>
                <c:ptCount val="3"/>
                <c:pt idx="0">
                  <c:v>0.67910000000000303</c:v>
                </c:pt>
                <c:pt idx="1">
                  <c:v>0.12350000000000012</c:v>
                </c:pt>
                <c:pt idx="2">
                  <c:v>0.19750000000000001</c:v>
                </c:pt>
              </c:numCache>
            </c:numRef>
          </c:val>
        </c:ser>
        <c:dLbls>
          <c:showPercent val="1"/>
        </c:dLbls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pl-PL" sz="1000"/>
              <a:t>B02. Jak oceniasz opiekę/zaangażowanie personelu medycznego? (skumulowany odsetek)</a:t>
            </a:r>
          </a:p>
        </c:rich>
      </c:tx>
      <c:layout>
        <c:manualLayout>
          <c:xMode val="edge"/>
          <c:yMode val="edge"/>
          <c:x val="0.16264149305555556"/>
          <c:y val="0"/>
        </c:manualLayout>
      </c:layout>
    </c:title>
    <c:view3D>
      <c:rotX val="30"/>
      <c:rotY val="80"/>
      <c:perspective val="30"/>
    </c:view3D>
    <c:plotArea>
      <c:layout>
        <c:manualLayout>
          <c:layoutTarget val="inner"/>
          <c:xMode val="edge"/>
          <c:yMode val="edge"/>
          <c:x val="2.3171108586148271E-3"/>
          <c:y val="0.13689841269841271"/>
          <c:w val="0.73109693698161671"/>
          <c:h val="0.86062341269841602"/>
        </c:manualLayout>
      </c:layout>
      <c:pie3DChart>
        <c:varyColors val="1"/>
        <c:ser>
          <c:idx val="0"/>
          <c:order val="0"/>
          <c:tx>
            <c:strRef>
              <c:f>Arkusz1!$D$61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4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1"/>
              <c:layout>
                <c:manualLayout>
                  <c:x val="-3.1440972222222398E-2"/>
                  <c:y val="4.1868557821000893E-2"/>
                </c:manualLayout>
              </c:layout>
              <c:showPercent val="1"/>
            </c:dLbl>
            <c:dLbl>
              <c:idx val="2"/>
              <c:layout>
                <c:manualLayout>
                  <c:x val="-4.5286111111111124E-2"/>
                  <c:y val="1.8325076915054493E-2"/>
                </c:manualLayout>
              </c:layout>
              <c:showPercent val="1"/>
            </c:dLbl>
            <c:numFmt formatCode="0.00%" sourceLinked="0"/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Percent val="1"/>
            <c:showLeaderLines val="1"/>
          </c:dLbls>
          <c:cat>
            <c:strRef>
              <c:f>Arkusz1!$C$62:$C$64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Arkusz1!$D$62:$D$64</c:f>
              <c:numCache>
                <c:formatCode>0.00%</c:formatCode>
                <c:ptCount val="3"/>
                <c:pt idx="0">
                  <c:v>0.73060000000000302</c:v>
                </c:pt>
                <c:pt idx="1">
                  <c:v>8.9800000000000046E-2</c:v>
                </c:pt>
                <c:pt idx="2">
                  <c:v>0.17960000000000001</c:v>
                </c:pt>
              </c:numCache>
            </c:numRef>
          </c:val>
        </c:ser>
        <c:dLbls>
          <c:showPercent val="1"/>
        </c:dLbls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B03. Jak oceniasz próby zmniejszania bólu poprzez podanie leków?</a:t>
            </a:r>
            <a:r>
              <a:rPr lang="pl-PL" sz="1000"/>
              <a:t> (s</a:t>
            </a:r>
            <a:r>
              <a:rPr lang="en-US" sz="1000"/>
              <a:t>kumulowany odsetek</a:t>
            </a:r>
            <a:r>
              <a:rPr lang="pl-PL" sz="1000"/>
              <a:t>)</a:t>
            </a:r>
            <a:endParaRPr lang="en-US" sz="1000"/>
          </a:p>
        </c:rich>
      </c:tx>
      <c:layout>
        <c:manualLayout>
          <c:xMode val="edge"/>
          <c:yMode val="edge"/>
          <c:x val="0.12579097222222221"/>
          <c:y val="0"/>
        </c:manualLayout>
      </c:layout>
    </c:title>
    <c:view3D>
      <c:rotX val="30"/>
      <c:rotY val="80"/>
      <c:perspective val="30"/>
    </c:view3D>
    <c:plotArea>
      <c:layout>
        <c:manualLayout>
          <c:layoutTarget val="inner"/>
          <c:xMode val="edge"/>
          <c:yMode val="edge"/>
          <c:x val="0"/>
          <c:y val="0.14573916671012219"/>
          <c:w val="0.70538819444444445"/>
          <c:h val="0.83682501607829263"/>
        </c:manualLayout>
      </c:layout>
      <c:pie3DChart>
        <c:varyColors val="1"/>
        <c:ser>
          <c:idx val="0"/>
          <c:order val="0"/>
          <c:tx>
            <c:strRef>
              <c:f>Arkusz1!$D$89</c:f>
              <c:strCache>
                <c:ptCount val="1"/>
                <c:pt idx="0">
                  <c:v>Skumulowany odsetek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4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1"/>
              <c:layout>
                <c:manualLayout>
                  <c:x val="-5.7794791666666886E-2"/>
                  <c:y val="6.2465453407728133E-2"/>
                </c:manualLayout>
              </c:layout>
              <c:showPercent val="1"/>
            </c:dLbl>
            <c:dLbl>
              <c:idx val="2"/>
              <c:layout>
                <c:manualLayout>
                  <c:x val="-2.9286111111111179E-2"/>
                  <c:y val="4.4353131355269498E-2"/>
                </c:manualLayout>
              </c:layout>
              <c:showPercent val="1"/>
            </c:dLbl>
            <c:numFmt formatCode="0.00%" sourceLinked="0"/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Percent val="1"/>
            <c:showLeaderLines val="1"/>
          </c:dLbls>
          <c:cat>
            <c:strRef>
              <c:f>Arkusz1!$C$90:$C$92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Arkusz1!$D$90:$D$92</c:f>
              <c:numCache>
                <c:formatCode>0.00%</c:formatCode>
                <c:ptCount val="3"/>
                <c:pt idx="0">
                  <c:v>0.71430000000000005</c:v>
                </c:pt>
                <c:pt idx="1">
                  <c:v>0.1275</c:v>
                </c:pt>
                <c:pt idx="2">
                  <c:v>0.15820000000000073</c:v>
                </c:pt>
              </c:numCache>
            </c:numRef>
          </c:val>
        </c:ser>
        <c:dLbls>
          <c:showPercent val="1"/>
        </c:dLbls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C01. Jak oceniasz zrozumiałość przekazywanych informacji dotyczących Twojego stanu zdrowia i procesu leczenia podczas pobytu w szpitalu?</a:t>
            </a:r>
            <a:r>
              <a:rPr lang="pl-PL" sz="1000"/>
              <a:t> (s</a:t>
            </a:r>
            <a:r>
              <a:rPr lang="en-US" sz="1000"/>
              <a:t>kumulowany odsetek</a:t>
            </a:r>
            <a:r>
              <a:rPr lang="pl-PL" sz="1000"/>
              <a:t>)</a:t>
            </a:r>
            <a:endParaRPr lang="en-US" sz="1000"/>
          </a:p>
        </c:rich>
      </c:tx>
      <c:layout>
        <c:manualLayout>
          <c:xMode val="edge"/>
          <c:yMode val="edge"/>
          <c:x val="0.11165763888888888"/>
          <c:y val="0"/>
        </c:manualLayout>
      </c:layout>
    </c:title>
    <c:view3D>
      <c:rotX val="30"/>
      <c:rotY val="80"/>
      <c:perspective val="30"/>
    </c:view3D>
    <c:plotArea>
      <c:layout>
        <c:manualLayout>
          <c:layoutTarget val="inner"/>
          <c:xMode val="edge"/>
          <c:yMode val="edge"/>
          <c:x val="0"/>
          <c:y val="0.23615375515003689"/>
          <c:w val="0.67974560185185329"/>
          <c:h val="0.74872742777244483"/>
        </c:manualLayout>
      </c:layout>
      <c:pie3DChart>
        <c:varyColors val="1"/>
        <c:ser>
          <c:idx val="0"/>
          <c:order val="0"/>
          <c:tx>
            <c:strRef>
              <c:f>Arkusz1!$D$117</c:f>
              <c:strCache>
                <c:ptCount val="1"/>
                <c:pt idx="0">
                  <c:v>Skumulowany odsetek</c:v>
                </c:pt>
              </c:strCache>
            </c:strRef>
          </c:tx>
          <c:explosion val="25"/>
          <c:dPt>
            <c:idx val="0"/>
            <c:spPr>
              <a:solidFill>
                <a:srgbClr val="92D050"/>
              </a:solidFill>
            </c:spPr>
          </c:dPt>
          <c:dPt>
            <c:idx val="1"/>
            <c:spPr>
              <a:solidFill>
                <a:srgbClr val="00B0F0"/>
              </a:solidFill>
            </c:spPr>
          </c:dPt>
          <c:dPt>
            <c:idx val="2"/>
            <c:spPr>
              <a:solidFill>
                <a:srgbClr val="FF0000"/>
              </a:solidFill>
            </c:spPr>
          </c:dPt>
          <c:dLbls>
            <c:dLbl>
              <c:idx val="1"/>
              <c:layout>
                <c:manualLayout>
                  <c:x val="-2.5035763888888892E-2"/>
                  <c:y val="7.7357598512106523E-2"/>
                </c:manualLayout>
              </c:layout>
              <c:showVal val="1"/>
            </c:dLbl>
            <c:dLbl>
              <c:idx val="2"/>
              <c:layout>
                <c:manualLayout>
                  <c:x val="-2.0347569444444446E-2"/>
                  <c:y val="5.3646208131268372E-2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Arkusz1!$C$118:$C$120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Arkusz1!$D$118:$D$120</c:f>
              <c:numCache>
                <c:formatCode>0.00%</c:formatCode>
                <c:ptCount val="3"/>
                <c:pt idx="0">
                  <c:v>0.69880000000000064</c:v>
                </c:pt>
                <c:pt idx="1">
                  <c:v>0.12139999999999998</c:v>
                </c:pt>
                <c:pt idx="2">
                  <c:v>0.17990000000000067</c:v>
                </c:pt>
              </c:numCache>
            </c:numRef>
          </c:val>
        </c:ser>
        <c:ser>
          <c:idx val="1"/>
          <c:order val="1"/>
          <c:tx>
            <c:strRef>
              <c:f>Arkusz1!$E$117</c:f>
              <c:strCache>
                <c:ptCount val="1"/>
                <c:pt idx="0">
                  <c:v>Opis</c:v>
                </c:pt>
              </c:strCache>
            </c:strRef>
          </c:tx>
          <c:explosion val="25"/>
          <c:cat>
            <c:strRef>
              <c:f>Arkusz1!$C$118:$C$120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Arkusz1!$E$118:$E$120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C02. Jak oceniasz zrozumiałość informacji przekazanych przez personel medyczny dotyczących zaleceń lekarskich i dalszego procesu leczenia</a:t>
            </a:r>
            <a:r>
              <a:rPr lang="pl-PL" sz="1000"/>
              <a:t/>
            </a:r>
            <a:br>
              <a:rPr lang="pl-PL" sz="1000"/>
            </a:br>
            <a:r>
              <a:rPr lang="en-US" sz="1000"/>
              <a:t>po opuszczeniu szpitala?</a:t>
            </a:r>
            <a:r>
              <a:rPr lang="pl-PL" sz="1000"/>
              <a:t> (s</a:t>
            </a:r>
            <a:r>
              <a:rPr lang="en-US" sz="1000"/>
              <a:t>kumulowany odsetek</a:t>
            </a:r>
            <a:r>
              <a:rPr lang="pl-PL" sz="1000"/>
              <a:t>)</a:t>
            </a:r>
            <a:endParaRPr lang="en-US" sz="1000"/>
          </a:p>
        </c:rich>
      </c:tx>
      <c:layout>
        <c:manualLayout>
          <c:xMode val="edge"/>
          <c:yMode val="edge"/>
          <c:x val="0.109695370370371"/>
          <c:y val="0"/>
        </c:manualLayout>
      </c:layout>
    </c:title>
    <c:view3D>
      <c:rotX val="30"/>
      <c:rotY val="80"/>
      <c:perspective val="30"/>
    </c:view3D>
    <c:plotArea>
      <c:layout>
        <c:manualLayout>
          <c:layoutTarget val="inner"/>
          <c:xMode val="edge"/>
          <c:yMode val="edge"/>
          <c:x val="0"/>
          <c:y val="0.26336241069064392"/>
          <c:w val="0.71943310185185028"/>
          <c:h val="0.72655824159071791"/>
        </c:manualLayout>
      </c:layout>
      <c:pie3DChart>
        <c:varyColors val="1"/>
        <c:ser>
          <c:idx val="0"/>
          <c:order val="0"/>
          <c:tx>
            <c:strRef>
              <c:f>Arkusz1!$D$144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1"/>
              <c:layout>
                <c:manualLayout>
                  <c:x val="-0.11521406250000002"/>
                  <c:y val="4.8711129651839893E-2"/>
                </c:manualLayout>
              </c:layout>
              <c:showVal val="1"/>
            </c:dLbl>
            <c:dLbl>
              <c:idx val="2"/>
              <c:layout>
                <c:manualLayout>
                  <c:x val="-3.7070312500000216E-2"/>
                  <c:y val="3.0024160887173988E-2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Arkusz1!$C$145:$C$147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Arkusz1!$D$145:$D$147</c:f>
              <c:numCache>
                <c:formatCode>0.00%</c:formatCode>
                <c:ptCount val="3"/>
                <c:pt idx="0">
                  <c:v>0.71730000000000005</c:v>
                </c:pt>
                <c:pt idx="1">
                  <c:v>0.13919999999999999</c:v>
                </c:pt>
                <c:pt idx="2">
                  <c:v>0.14350000000000004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69444467592592596"/>
          <c:y val="0.51722619047619045"/>
          <c:w val="0.30555532407407432"/>
          <c:h val="0.23335595238095239"/>
        </c:manualLayout>
      </c:layout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D01. Jak oceniasz wyżywienie w szpitalu?</a:t>
            </a:r>
            <a:r>
              <a:rPr lang="pl-PL" sz="1000"/>
              <a:t> (s</a:t>
            </a:r>
            <a:r>
              <a:rPr lang="en-US" sz="1000"/>
              <a:t>kumulowany odsetek</a:t>
            </a:r>
            <a:r>
              <a:rPr lang="pl-PL" sz="1000"/>
              <a:t>)</a:t>
            </a:r>
            <a:endParaRPr lang="en-US" sz="1000"/>
          </a:p>
        </c:rich>
      </c:tx>
      <c:layout>
        <c:manualLayout>
          <c:xMode val="edge"/>
          <c:yMode val="edge"/>
          <c:x val="0.17188726851851852"/>
          <c:y val="6.2487271295197724E-4"/>
        </c:manualLayout>
      </c:layout>
    </c:title>
    <c:view3D>
      <c:rotX val="30"/>
      <c:rotY val="90"/>
      <c:perspective val="30"/>
    </c:view3D>
    <c:plotArea>
      <c:layout>
        <c:manualLayout>
          <c:layoutTarget val="inner"/>
          <c:xMode val="edge"/>
          <c:yMode val="edge"/>
          <c:x val="0"/>
          <c:y val="0.16463331603751302"/>
          <c:w val="0.6929747685185198"/>
          <c:h val="0.82024786088284896"/>
        </c:manualLayout>
      </c:layout>
      <c:pie3DChart>
        <c:varyColors val="1"/>
        <c:ser>
          <c:idx val="0"/>
          <c:order val="0"/>
          <c:tx>
            <c:strRef>
              <c:f>Arkusz1!$D$171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0"/>
              <c:layout>
                <c:manualLayout>
                  <c:x val="6.5368229166666833E-2"/>
                  <c:y val="-0.22504945160000694"/>
                </c:manualLayout>
              </c:layout>
              <c:showVal val="1"/>
            </c:dLbl>
            <c:dLbl>
              <c:idx val="1"/>
              <c:layout>
                <c:manualLayout>
                  <c:x val="4.8730729166666722E-2"/>
                  <c:y val="3.239088491422018E-2"/>
                </c:manualLayout>
              </c:layout>
              <c:showVal val="1"/>
            </c:dLbl>
            <c:dLbl>
              <c:idx val="2"/>
              <c:layout>
                <c:manualLayout>
                  <c:x val="-5.9408506944444675E-2"/>
                  <c:y val="3.5066312075229221E-3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Arkusz1!$C$172:$C$174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Arkusz1!$D$172:$D$174</c:f>
              <c:numCache>
                <c:formatCode>0.00%</c:formatCode>
                <c:ptCount val="3"/>
                <c:pt idx="0">
                  <c:v>0.61280000000000256</c:v>
                </c:pt>
                <c:pt idx="1">
                  <c:v>0.17650000000000021</c:v>
                </c:pt>
                <c:pt idx="2">
                  <c:v>0.21080000000000004</c:v>
                </c:pt>
              </c:numCache>
            </c:numRef>
          </c:val>
        </c:ser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pl-PL" sz="1000"/>
              <a:t>D02. Jak oceniasz czystość w salach, na korytarzach, </a:t>
            </a:r>
            <a:br>
              <a:rPr lang="pl-PL" sz="1000"/>
            </a:br>
            <a:r>
              <a:rPr lang="pl-PL" sz="1000"/>
              <a:t>w łazienkach? (skumulowany odsetek)</a:t>
            </a:r>
          </a:p>
        </c:rich>
      </c:tx>
      <c:layout>
        <c:manualLayout>
          <c:xMode val="edge"/>
          <c:yMode val="edge"/>
          <c:x val="0.13606481481481481"/>
          <c:y val="0"/>
        </c:manualLayout>
      </c:layout>
    </c:title>
    <c:view3D>
      <c:rotX val="30"/>
      <c:rotY val="60"/>
      <c:perspective val="30"/>
    </c:view3D>
    <c:plotArea>
      <c:layout>
        <c:manualLayout>
          <c:layoutTarget val="inner"/>
          <c:xMode val="edge"/>
          <c:yMode val="edge"/>
          <c:x val="0"/>
          <c:y val="0.15145538926839519"/>
          <c:w val="0.73045746527777777"/>
          <c:h val="0.8485446107316057"/>
        </c:manualLayout>
      </c:layout>
      <c:pie3DChart>
        <c:varyColors val="1"/>
        <c:ser>
          <c:idx val="0"/>
          <c:order val="0"/>
          <c:tx>
            <c:strRef>
              <c:f>Arkusz1!$D$198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1"/>
              <c:layout>
                <c:manualLayout>
                  <c:x val="-2.0554340277777802E-2"/>
                  <c:y val="5.9642627453025635E-2"/>
                </c:manualLayout>
              </c:layout>
              <c:showVal val="1"/>
            </c:dLbl>
            <c:dLbl>
              <c:idx val="2"/>
              <c:layout>
                <c:manualLayout>
                  <c:x val="-2.1429166666666746E-2"/>
                  <c:y val="4.0347291025708061E-2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Arkusz1!$C$199:$C$201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Arkusz1!$D$199:$D$201</c:f>
              <c:numCache>
                <c:formatCode>0.00%</c:formatCode>
                <c:ptCount val="3"/>
                <c:pt idx="0">
                  <c:v>0.75430000000000064</c:v>
                </c:pt>
                <c:pt idx="1">
                  <c:v>0.1144</c:v>
                </c:pt>
                <c:pt idx="2">
                  <c:v>0.1313</c:v>
                </c:pt>
              </c:numCache>
            </c:numRef>
          </c:val>
        </c:ser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E01. Jak oceniasz respektowanie przez personel medyczny praw pacjenta, szczególnych uprawnień</a:t>
            </a:r>
            <a:r>
              <a:rPr lang="pl-PL" sz="1000"/>
              <a:t/>
            </a:r>
            <a:br>
              <a:rPr lang="pl-PL" sz="1000"/>
            </a:br>
            <a:r>
              <a:rPr lang="en-US" sz="1000"/>
              <a:t>i potrzeb?</a:t>
            </a:r>
            <a:r>
              <a:rPr lang="pl-PL" sz="1000"/>
              <a:t> (s</a:t>
            </a:r>
            <a:r>
              <a:rPr lang="en-US" sz="1000"/>
              <a:t>kumulowany odsetek</a:t>
            </a:r>
            <a:r>
              <a:rPr lang="pl-PL" sz="1000"/>
              <a:t>)</a:t>
            </a:r>
            <a:endParaRPr lang="en-US" sz="1000"/>
          </a:p>
        </c:rich>
      </c:tx>
      <c:layout>
        <c:manualLayout>
          <c:xMode val="edge"/>
          <c:yMode val="edge"/>
          <c:x val="0.12424652777777802"/>
          <c:y val="0"/>
        </c:manualLayout>
      </c:layout>
    </c:title>
    <c:view3D>
      <c:rotX val="30"/>
      <c:rotY val="60"/>
      <c:perspective val="30"/>
    </c:view3D>
    <c:plotArea>
      <c:layout>
        <c:manualLayout>
          <c:layoutTarget val="inner"/>
          <c:xMode val="edge"/>
          <c:yMode val="edge"/>
          <c:x val="0"/>
          <c:y val="0.21411458037653544"/>
          <c:w val="0.74442152777777781"/>
          <c:h val="0.78588541962346592"/>
        </c:manualLayout>
      </c:layout>
      <c:pie3DChart>
        <c:varyColors val="1"/>
        <c:ser>
          <c:idx val="0"/>
          <c:order val="0"/>
          <c:tx>
            <c:strRef>
              <c:f>Arkusz1!$D$225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1"/>
              <c:layout>
                <c:manualLayout>
                  <c:x val="1.0906944444444438E-2"/>
                  <c:y val="2.9038952912342916E-2"/>
                </c:manualLayout>
              </c:layout>
              <c:showVal val="1"/>
            </c:dLbl>
            <c:dLbl>
              <c:idx val="2"/>
              <c:layout>
                <c:manualLayout>
                  <c:x val="6.2514756944444735E-3"/>
                  <c:y val="5.7680554831308538E-2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Arkusz1!$C$226:$C$228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Arkusz1!$D$226:$D$228</c:f>
              <c:numCache>
                <c:formatCode>0.00%</c:formatCode>
                <c:ptCount val="3"/>
                <c:pt idx="0">
                  <c:v>0.75220000000000065</c:v>
                </c:pt>
                <c:pt idx="1">
                  <c:v>7.2600000000000012E-2</c:v>
                </c:pt>
                <c:pt idx="2">
                  <c:v>0.17519999999999999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69444467592592596"/>
          <c:y val="0.49864207298942137"/>
          <c:w val="0.30555532407407432"/>
          <c:h val="0.23345665372325286"/>
        </c:manualLayout>
      </c:layout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F01. Jakie jest prawdopodobieństwo, że polecisz ten szpital znajomym lub rodzinie?</a:t>
            </a:r>
            <a:r>
              <a:rPr lang="pl-PL" sz="1000"/>
              <a:t> (s</a:t>
            </a:r>
            <a:r>
              <a:rPr lang="en-US" sz="1000"/>
              <a:t>kumulowany odsetek</a:t>
            </a:r>
            <a:r>
              <a:rPr lang="pl-PL" sz="1000"/>
              <a:t>)</a:t>
            </a:r>
            <a:endParaRPr lang="en-US" sz="1000"/>
          </a:p>
        </c:rich>
      </c:tx>
      <c:layout>
        <c:manualLayout>
          <c:xMode val="edge"/>
          <c:yMode val="edge"/>
          <c:x val="0.11889699074074074"/>
          <c:y val="0"/>
        </c:manualLayout>
      </c:layout>
    </c:title>
    <c:view3D>
      <c:rotX val="30"/>
      <c:rotY val="60"/>
      <c:perspective val="30"/>
    </c:view3D>
    <c:plotArea>
      <c:layout>
        <c:manualLayout>
          <c:layoutTarget val="inner"/>
          <c:xMode val="edge"/>
          <c:yMode val="edge"/>
          <c:x val="0"/>
          <c:y val="0.16720481131911488"/>
          <c:w val="0.77381961805555888"/>
          <c:h val="0.83279518868088809"/>
        </c:manualLayout>
      </c:layout>
      <c:pie3DChart>
        <c:varyColors val="1"/>
        <c:ser>
          <c:idx val="0"/>
          <c:order val="0"/>
          <c:tx>
            <c:strRef>
              <c:f>Arkusz1!$D$252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1"/>
              <c:layout>
                <c:manualLayout>
                  <c:x val="6.9857638888889172E-3"/>
                  <c:y val="4.2991083068258863E-2"/>
                </c:manualLayout>
              </c:layout>
              <c:showVal val="1"/>
            </c:dLbl>
            <c:dLbl>
              <c:idx val="2"/>
              <c:layout>
                <c:manualLayout>
                  <c:x val="-8.0576388888889475E-3"/>
                  <c:y val="3.4088752151014236E-2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Arkusz1!$C$253:$C$255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Arkusz1!$D$253:$D$255</c:f>
              <c:numCache>
                <c:formatCode>0.00%</c:formatCode>
                <c:ptCount val="3"/>
                <c:pt idx="0">
                  <c:v>0.72340000000000004</c:v>
                </c:pt>
                <c:pt idx="1">
                  <c:v>9.7900000000000001E-2</c:v>
                </c:pt>
                <c:pt idx="2">
                  <c:v>0.17870000000000041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69444467592592596"/>
          <c:y val="0.38267935414998488"/>
          <c:w val="0.30555532407407432"/>
          <c:h val="0.23345665372325286"/>
        </c:manualLayout>
      </c:layout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A. Obszary ocenione jako </a:t>
            </a:r>
            <a:r>
              <a:rPr lang="pl-PL" sz="1000"/>
              <a:t>"</a:t>
            </a:r>
            <a:r>
              <a:rPr lang="pl-PL" sz="1000" cap="small" baseline="0"/>
              <a:t>ZŁE"</a:t>
            </a:r>
            <a:r>
              <a:rPr lang="en-US" sz="1000"/>
              <a:t> (wymagające interwencji)</a:t>
            </a:r>
            <a:r>
              <a:rPr lang="pl-PL" sz="1000"/>
              <a:t> </a:t>
            </a:r>
            <a:br>
              <a:rPr lang="pl-PL" sz="1000"/>
            </a:br>
            <a:r>
              <a:rPr lang="pl-PL" sz="1000"/>
              <a:t>[s</a:t>
            </a:r>
            <a:r>
              <a:rPr lang="en-US" sz="1000"/>
              <a:t>kumulowany odsetek</a:t>
            </a:r>
            <a:r>
              <a:rPr lang="pl-PL" sz="1000"/>
              <a:t>]</a:t>
            </a:r>
            <a:endParaRPr lang="en-US" sz="1000"/>
          </a:p>
        </c:rich>
      </c:tx>
      <c:layout>
        <c:manualLayout>
          <c:xMode val="edge"/>
          <c:yMode val="edge"/>
          <c:x val="0.18938072916666671"/>
          <c:y val="4.6297619047619134E-3"/>
        </c:manualLayout>
      </c:layout>
    </c:title>
    <c:view3D>
      <c:rotX val="5"/>
      <c:rAngAx val="1"/>
    </c:view3D>
    <c:plotArea>
      <c:layout>
        <c:manualLayout>
          <c:layoutTarget val="inner"/>
          <c:xMode val="edge"/>
          <c:yMode val="edge"/>
          <c:x val="8.2338333333333347E-2"/>
          <c:y val="0.16162261904761854"/>
          <c:w val="0.91530981481481621"/>
          <c:h val="0.75529801587301715"/>
        </c:manualLayout>
      </c:layout>
      <c:bar3DChart>
        <c:barDir val="col"/>
        <c:grouping val="clustered"/>
        <c:ser>
          <c:idx val="0"/>
          <c:order val="0"/>
          <c:tx>
            <c:strRef>
              <c:f>Arkusz1!$D$278</c:f>
              <c:strCache>
                <c:ptCount val="1"/>
                <c:pt idx="0">
                  <c:v>ODSETEK OCEN 0-6
OBSZAR ZŁY
</c:v>
                </c:pt>
              </c:strCache>
            </c:strRef>
          </c:tx>
          <c:spPr>
            <a:solidFill>
              <a:srgbClr val="C00000"/>
            </a:solidFill>
            <a:ln>
              <a:solidFill>
                <a:schemeClr val="bg1">
                  <a:lumMod val="85000"/>
                </a:schemeClr>
              </a:solidFill>
            </a:ln>
          </c:spPr>
          <c:dLbls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txPr>
              <a:bodyPr/>
              <a:lstStyle/>
              <a:p>
                <a:pPr>
                  <a:defRPr sz="1000"/>
                </a:pPr>
                <a:endParaRPr lang="pl-PL"/>
              </a:p>
            </c:txPr>
            <c:showVal val="1"/>
          </c:dLbls>
          <c:cat>
            <c:strRef>
              <c:f>Arkusz1!$C$279:$C$285</c:f>
              <c:strCache>
                <c:ptCount val="7"/>
                <c:pt idx="0">
                  <c:v>D01. </c:v>
                </c:pt>
                <c:pt idx="1">
                  <c:v>B01. </c:v>
                </c:pt>
                <c:pt idx="2">
                  <c:v>A01. </c:v>
                </c:pt>
                <c:pt idx="3">
                  <c:v>C01. </c:v>
                </c:pt>
                <c:pt idx="4">
                  <c:v>B02. </c:v>
                </c:pt>
                <c:pt idx="5">
                  <c:v>F01.  </c:v>
                </c:pt>
                <c:pt idx="6">
                  <c:v>E01. </c:v>
                </c:pt>
              </c:strCache>
            </c:strRef>
          </c:cat>
          <c:val>
            <c:numRef>
              <c:f>Arkusz1!$D$279:$D$285</c:f>
              <c:numCache>
                <c:formatCode>0.00%</c:formatCode>
                <c:ptCount val="7"/>
                <c:pt idx="0">
                  <c:v>0.21080000000000004</c:v>
                </c:pt>
                <c:pt idx="1">
                  <c:v>0.19750000000000001</c:v>
                </c:pt>
                <c:pt idx="2">
                  <c:v>0.18750000000000028</c:v>
                </c:pt>
                <c:pt idx="3">
                  <c:v>0.17980000000000004</c:v>
                </c:pt>
                <c:pt idx="4">
                  <c:v>0.17960000000000001</c:v>
                </c:pt>
                <c:pt idx="5">
                  <c:v>0.17870000000000025</c:v>
                </c:pt>
                <c:pt idx="6">
                  <c:v>0.17519999999999999</c:v>
                </c:pt>
              </c:numCache>
            </c:numRef>
          </c:val>
        </c:ser>
        <c:gapWidth val="75"/>
        <c:shape val="box"/>
        <c:axId val="169005440"/>
        <c:axId val="169006976"/>
        <c:axId val="0"/>
      </c:bar3DChart>
      <c:catAx>
        <c:axId val="169005440"/>
        <c:scaling>
          <c:orientation val="minMax"/>
        </c:scaling>
        <c:axPos val="b"/>
        <c:numFmt formatCode="General" sourceLinked="1"/>
        <c:majorTickMark val="none"/>
        <c:tickLblPos val="nextTo"/>
        <c:crossAx val="169006976"/>
        <c:crosses val="autoZero"/>
        <c:auto val="1"/>
        <c:lblAlgn val="ctr"/>
        <c:lblOffset val="100"/>
      </c:catAx>
      <c:valAx>
        <c:axId val="169006976"/>
        <c:scaling>
          <c:orientation val="minMax"/>
        </c:scaling>
        <c:axPos val="l"/>
        <c:majorGridlines/>
        <c:numFmt formatCode="0.00%" sourceLinked="1"/>
        <c:majorTickMark val="none"/>
        <c:tickLblPos val="nextTo"/>
        <c:spPr>
          <a:ln w="9525">
            <a:noFill/>
          </a:ln>
        </c:spPr>
        <c:crossAx val="169005440"/>
        <c:crosses val="autoZero"/>
        <c:crossBetween val="between"/>
      </c:valAx>
    </c:plotArea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B. Obszary </a:t>
            </a:r>
            <a:r>
              <a:rPr lang="pl-PL" sz="1000"/>
              <a:t>"</a:t>
            </a:r>
            <a:r>
              <a:rPr lang="en-US" sz="1000" cap="small" baseline="0"/>
              <a:t>Obojętne</a:t>
            </a:r>
            <a:r>
              <a:rPr lang="pl-PL" sz="1000" cap="small" baseline="0"/>
              <a:t>"</a:t>
            </a:r>
            <a:r>
              <a:rPr lang="en-US" sz="1000"/>
              <a:t> (potencjał do poprawy)</a:t>
            </a:r>
            <a:r>
              <a:rPr lang="pl-PL" sz="1000"/>
              <a:t> [s</a:t>
            </a:r>
            <a:r>
              <a:rPr lang="en-US" sz="1000"/>
              <a:t>kumulowany odsetek</a:t>
            </a:r>
            <a:r>
              <a:rPr lang="pl-PL" sz="1000"/>
              <a:t>]</a:t>
            </a:r>
            <a:endParaRPr lang="en-US" sz="1000"/>
          </a:p>
        </c:rich>
      </c:tx>
      <c:layout>
        <c:manualLayout>
          <c:xMode val="edge"/>
          <c:yMode val="edge"/>
          <c:x val="0.18211782407407406"/>
          <c:y val="0"/>
        </c:manualLayout>
      </c:layout>
    </c:title>
    <c:view3D>
      <c:rotX val="5"/>
      <c:rAngAx val="1"/>
    </c:view3D>
    <c:plotArea>
      <c:layout>
        <c:manualLayout>
          <c:layoutTarget val="inner"/>
          <c:xMode val="edge"/>
          <c:yMode val="edge"/>
          <c:x val="0.10292268518518544"/>
          <c:y val="0.19720277777777778"/>
          <c:w val="0.88825787037037063"/>
          <c:h val="0.70587129629629886"/>
        </c:manualLayout>
      </c:layout>
      <c:bar3DChart>
        <c:barDir val="col"/>
        <c:grouping val="clustered"/>
        <c:ser>
          <c:idx val="0"/>
          <c:order val="0"/>
          <c:tx>
            <c:strRef>
              <c:f>Arkusz1!$D$306</c:f>
              <c:strCache>
                <c:ptCount val="1"/>
                <c:pt idx="0">
                  <c:v>ODSETEK OCEN 7-8
OBSZAR OBOJĘTNY</c:v>
                </c:pt>
              </c:strCache>
            </c:strRef>
          </c:tx>
          <c:spPr>
            <a:solidFill>
              <a:srgbClr val="0070C0"/>
            </a:solidFill>
            <a:ln>
              <a:solidFill>
                <a:schemeClr val="bg1">
                  <a:lumMod val="85000"/>
                </a:schemeClr>
              </a:solidFill>
            </a:ln>
          </c:spPr>
          <c:dLbls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txPr>
              <a:bodyPr/>
              <a:lstStyle/>
              <a:p>
                <a:pPr>
                  <a:defRPr sz="1000"/>
                </a:pPr>
                <a:endParaRPr lang="pl-PL"/>
              </a:p>
            </c:txPr>
            <c:showVal val="1"/>
          </c:dLbls>
          <c:cat>
            <c:strRef>
              <c:f>Arkusz1!$C$307:$C$309</c:f>
              <c:strCache>
                <c:ptCount val="3"/>
                <c:pt idx="0">
                  <c:v>D01. </c:v>
                </c:pt>
                <c:pt idx="1">
                  <c:v>A01. </c:v>
                </c:pt>
                <c:pt idx="2">
                  <c:v>C02. </c:v>
                </c:pt>
              </c:strCache>
            </c:strRef>
          </c:cat>
          <c:val>
            <c:numRef>
              <c:f>Arkusz1!$D$307:$D$309</c:f>
              <c:numCache>
                <c:formatCode>0.00%</c:formatCode>
                <c:ptCount val="3"/>
                <c:pt idx="0">
                  <c:v>0.17650000000000021</c:v>
                </c:pt>
                <c:pt idx="1">
                  <c:v>0.1406</c:v>
                </c:pt>
                <c:pt idx="2">
                  <c:v>0.13930000000000001</c:v>
                </c:pt>
              </c:numCache>
            </c:numRef>
          </c:val>
        </c:ser>
        <c:gapWidth val="75"/>
        <c:shape val="box"/>
        <c:axId val="169293696"/>
        <c:axId val="169295232"/>
        <c:axId val="0"/>
      </c:bar3DChart>
      <c:catAx>
        <c:axId val="169293696"/>
        <c:scaling>
          <c:orientation val="minMax"/>
        </c:scaling>
        <c:axPos val="b"/>
        <c:majorTickMark val="none"/>
        <c:tickLblPos val="nextTo"/>
        <c:crossAx val="169295232"/>
        <c:crosses val="autoZero"/>
        <c:auto val="1"/>
        <c:lblAlgn val="ctr"/>
        <c:lblOffset val="100"/>
      </c:catAx>
      <c:valAx>
        <c:axId val="169295232"/>
        <c:scaling>
          <c:orientation val="minMax"/>
        </c:scaling>
        <c:axPos val="l"/>
        <c:majorGridlines/>
        <c:numFmt formatCode="0.00%" sourceLinked="1"/>
        <c:majorTickMark val="none"/>
        <c:tickLblPos val="nextTo"/>
        <c:spPr>
          <a:ln w="9525">
            <a:noFill/>
          </a:ln>
        </c:spPr>
        <c:crossAx val="169293696"/>
        <c:crosses val="autoZero"/>
        <c:crossBetween val="between"/>
      </c:valAx>
    </c:plotArea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pl-PL" sz="1000"/>
              <a:t>C. Obszary "</a:t>
            </a:r>
            <a:r>
              <a:rPr lang="pl-PL" sz="1000" cap="small" baseline="0"/>
              <a:t>Dobre</a:t>
            </a:r>
            <a:r>
              <a:rPr lang="pl-PL" sz="1000"/>
              <a:t>" (wzmacnianie) [skumulowany odsetek]</a:t>
            </a:r>
            <a:endParaRPr lang="en-US" sz="1000"/>
          </a:p>
        </c:rich>
      </c:tx>
      <c:layout>
        <c:manualLayout>
          <c:xMode val="edge"/>
          <c:yMode val="edge"/>
          <c:x val="0.19585069444444445"/>
          <c:y val="0"/>
        </c:manualLayout>
      </c:layout>
    </c:title>
    <c:view3D>
      <c:rotX val="5"/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Arkusz1!$D$329</c:f>
              <c:strCache>
                <c:ptCount val="1"/>
                <c:pt idx="0">
                  <c:v>ODSETEK OCEN 9-10 OBSZAR DOBRY</c:v>
                </c:pt>
              </c:strCache>
            </c:strRef>
          </c:tx>
          <c:spPr>
            <a:solidFill>
              <a:srgbClr val="00B050"/>
            </a:solidFill>
            <a:ln>
              <a:solidFill>
                <a:schemeClr val="bg1">
                  <a:lumMod val="85000"/>
                </a:schemeClr>
              </a:solidFill>
            </a:ln>
          </c:spPr>
          <c:dLbls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txPr>
              <a:bodyPr/>
              <a:lstStyle/>
              <a:p>
                <a:pPr>
                  <a:defRPr sz="1000"/>
                </a:pPr>
                <a:endParaRPr lang="pl-PL"/>
              </a:p>
            </c:txPr>
            <c:showVal val="1"/>
          </c:dLbls>
          <c:cat>
            <c:strRef>
              <c:f>Arkusz1!$C$330:$C$335</c:f>
              <c:strCache>
                <c:ptCount val="6"/>
                <c:pt idx="0">
                  <c:v>D02. </c:v>
                </c:pt>
                <c:pt idx="1">
                  <c:v>E01. 
</c:v>
                </c:pt>
                <c:pt idx="2">
                  <c:v>B02. 
</c:v>
                </c:pt>
                <c:pt idx="3">
                  <c:v>F01. </c:v>
                </c:pt>
                <c:pt idx="4">
                  <c:v>C02. </c:v>
                </c:pt>
                <c:pt idx="5">
                  <c:v>B03. </c:v>
                </c:pt>
              </c:strCache>
            </c:strRef>
          </c:cat>
          <c:val>
            <c:numRef>
              <c:f>Arkusz1!$D$330:$D$335</c:f>
              <c:numCache>
                <c:formatCode>0.00%</c:formatCode>
                <c:ptCount val="6"/>
                <c:pt idx="0">
                  <c:v>0.75430000000000064</c:v>
                </c:pt>
                <c:pt idx="1">
                  <c:v>0.75220000000000065</c:v>
                </c:pt>
                <c:pt idx="2">
                  <c:v>0.73060000000000125</c:v>
                </c:pt>
                <c:pt idx="3">
                  <c:v>0.72340000000000004</c:v>
                </c:pt>
                <c:pt idx="4">
                  <c:v>0.71730000000000005</c:v>
                </c:pt>
                <c:pt idx="5">
                  <c:v>0.71430000000000005</c:v>
                </c:pt>
              </c:numCache>
            </c:numRef>
          </c:val>
        </c:ser>
        <c:gapWidth val="75"/>
        <c:shape val="box"/>
        <c:axId val="169323904"/>
        <c:axId val="169337984"/>
        <c:axId val="0"/>
      </c:bar3DChart>
      <c:catAx>
        <c:axId val="169323904"/>
        <c:scaling>
          <c:orientation val="minMax"/>
        </c:scaling>
        <c:axPos val="b"/>
        <c:majorTickMark val="none"/>
        <c:tickLblPos val="nextTo"/>
        <c:crossAx val="169337984"/>
        <c:crosses val="autoZero"/>
        <c:auto val="1"/>
        <c:lblAlgn val="ctr"/>
        <c:lblOffset val="100"/>
      </c:catAx>
      <c:valAx>
        <c:axId val="169337984"/>
        <c:scaling>
          <c:orientation val="minMax"/>
        </c:scaling>
        <c:axPos val="l"/>
        <c:majorGridlines/>
        <c:numFmt formatCode="0.00%" sourceLinked="1"/>
        <c:majorTickMark val="none"/>
        <c:tickLblPos val="nextTo"/>
        <c:spPr>
          <a:ln w="9525">
            <a:noFill/>
          </a:ln>
        </c:spPr>
        <c:crossAx val="169323904"/>
        <c:crosses val="autoZero"/>
        <c:crossBetween val="between"/>
      </c:valAx>
    </c:plotArea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15</Pages>
  <Words>2278</Words>
  <Characters>13672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lom.gluchowska</cp:lastModifiedBy>
  <cp:revision>47</cp:revision>
  <cp:lastPrinted>2025-11-07T09:27:00Z</cp:lastPrinted>
  <dcterms:created xsi:type="dcterms:W3CDTF">2024-07-26T09:50:00Z</dcterms:created>
  <dcterms:modified xsi:type="dcterms:W3CDTF">2025-12-22T13:00:00Z</dcterms:modified>
</cp:coreProperties>
</file>