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364DCA" w:rsidRDefault="00EC59BF" w:rsidP="00364DCA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4631CA">
        <w:rPr>
          <w:rFonts w:ascii="Century Gothic" w:hAnsi="Century Gothic"/>
          <w:b/>
          <w:sz w:val="24"/>
          <w:szCs w:val="24"/>
        </w:rPr>
        <w:t>F</w:t>
      </w:r>
      <w:r w:rsidR="003D4B62">
        <w:rPr>
          <w:rFonts w:ascii="Century Gothic" w:hAnsi="Century Gothic"/>
          <w:b/>
          <w:sz w:val="24"/>
          <w:szCs w:val="24"/>
        </w:rPr>
        <w:t>426_w2</w:t>
      </w:r>
    </w:p>
    <w:p w:rsidR="00BA74E2" w:rsidRDefault="00C80C58" w:rsidP="00BA74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  <w:r w:rsidR="00CC7198">
        <w:rPr>
          <w:rFonts w:ascii="Century Gothic" w:hAnsi="Century Gothic"/>
          <w:b/>
          <w:sz w:val="24"/>
          <w:szCs w:val="24"/>
        </w:rPr>
        <w:t xml:space="preserve"> </w:t>
      </w:r>
    </w:p>
    <w:p w:rsidR="00735429" w:rsidRPr="00364DCA" w:rsidRDefault="00BA74E2" w:rsidP="00364DCA">
      <w:pPr>
        <w:ind w:firstLine="708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BA74E2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powodu</w:t>
      </w:r>
      <w:r w:rsidRPr="00BA74E2">
        <w:rPr>
          <w:rFonts w:ascii="Century Gothic" w:hAnsi="Century Gothic"/>
          <w:sz w:val="24"/>
          <w:szCs w:val="24"/>
        </w:rPr>
        <w:t xml:space="preserve"> </w:t>
      </w:r>
      <w:r w:rsidRPr="00BA74E2">
        <w:rPr>
          <w:rFonts w:ascii="Century Gothic" w:hAnsi="Century Gothic" w:cs="Arial"/>
          <w:b/>
          <w:bCs/>
          <w:sz w:val="24"/>
          <w:szCs w:val="24"/>
        </w:rPr>
        <w:t>wodogłowia metodą założenia zastawki komorowo-otrzewnowej</w:t>
      </w:r>
    </w:p>
    <w:p w:rsidR="00BA74E2" w:rsidRPr="00BA74E2" w:rsidRDefault="00BA74E2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15401E" w:rsidRPr="00102F6A" w:rsidRDefault="0015401E" w:rsidP="0015401E">
      <w:pPr>
        <w:jc w:val="center"/>
        <w:rPr>
          <w:rFonts w:cs="Arial"/>
          <w:b/>
          <w:bCs/>
        </w:rPr>
      </w:pP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>
        <w:rPr>
          <w:rFonts w:ascii="Century Gothic" w:hAnsi="Century Gothic" w:cs="Arial"/>
          <w:sz w:val="24"/>
          <w:szCs w:val="24"/>
        </w:rPr>
        <w:t xml:space="preserve"> c</w:t>
      </w:r>
      <w:r w:rsidRPr="0015401E">
        <w:rPr>
          <w:rFonts w:ascii="Century Gothic" w:hAnsi="Century Gothic" w:cs="Arial"/>
          <w:sz w:val="24"/>
          <w:szCs w:val="24"/>
        </w:rPr>
        <w:t>horobę</w:t>
      </w:r>
      <w:r w:rsidRPr="0015401E">
        <w:rPr>
          <w:rFonts w:ascii="Century Gothic" w:hAnsi="Century Gothic" w:cs="Arial"/>
          <w:b/>
          <w:sz w:val="24"/>
          <w:szCs w:val="24"/>
        </w:rPr>
        <w:t>:  Wodogłowie</w:t>
      </w: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</w:p>
    <w:p w:rsidR="0015401E" w:rsidRPr="0015401E" w:rsidRDefault="0015401E" w:rsidP="00707975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WSKAZANIA DO PROPONOWANEGO LECZENIA OPERACYJNEGO</w:t>
      </w: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Pojęcie wodogłowie  obejmuje wiele zespołów chorobowych o różnej etiologii i obrazie klinicznym, przebiegających ze zwiększeniem objętości płynu mózgowo-rdzeniowego i poszerzeniem układu komorowego kosztem tkanki nerwowej. Główne przyczyny wodogłowia to zaburzenia wytwarzania, krążenia i/lub wchłaniania płynu mózgowo-rdzeniowego. </w:t>
      </w: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Wodogłowie powoduje wzrost ciśnienia śródczaszkowego. Może objawiać się bólami głowy, nudnościami i wymiotami, zaburzeniami widzenia, chodu, spastycznym napięciem kończyn, porażeniem nerwu odwodzącego i upośledzeniem spojrzenia ku górze. Ponadto w przebiegu wodogłowia normotensyjnego może pojawić się triada objawów: otępienie, zaburzenia chodu i nietrzymanie moczu (tzw. Zespół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Hakima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>)</w:t>
      </w:r>
      <w:r>
        <w:rPr>
          <w:rFonts w:ascii="Century Gothic" w:hAnsi="Century Gothic" w:cs="Arial"/>
          <w:sz w:val="24"/>
          <w:szCs w:val="24"/>
        </w:rPr>
        <w:t>.</w:t>
      </w:r>
    </w:p>
    <w:p w:rsidR="0015401E" w:rsidRPr="0015401E" w:rsidRDefault="0015401E" w:rsidP="0015401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Nieleczone wodogłowie prowadzi do nasilenia zaburzeń neurologicznych, nieodwracalnych ubytków neurologicznych,  a niekiedy może prowadzić do śmierci.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Przy ostrym wodogłowiu, z cechami wzmożonego ciśnienia śródczaszkowego, w razie gdy przyczyna nie może być usunięta bezpośrednio, postępowaniem z wyboru jest założenie układu omijającego. Może on być założony na okres przejściowy – jako </w:t>
      </w:r>
      <w:r w:rsidRPr="0015401E">
        <w:rPr>
          <w:rFonts w:ascii="Century Gothic" w:hAnsi="Century Gothic" w:cs="Arial"/>
          <w:sz w:val="24"/>
          <w:szCs w:val="24"/>
        </w:rPr>
        <w:lastRenderedPageBreak/>
        <w:t>drenaż zewnętrzny lub na czas dłuższy (niekiedy do końca życia) – jako zastawka komorowo-otrzewnowa.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15401E" w:rsidRDefault="0015401E" w:rsidP="00812F90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Założenie zastawki komorowo-otrzewnowej.</w:t>
      </w:r>
    </w:p>
    <w:p w:rsidR="00812F90" w:rsidRPr="00812F90" w:rsidRDefault="00812F90" w:rsidP="00812F90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b/>
          <w:sz w:val="24"/>
          <w:szCs w:val="24"/>
        </w:rPr>
        <w:t xml:space="preserve">Alternatywne metody leczenia/badania polegają na: </w:t>
      </w:r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w przypadku potwierdzonego wodogłowia jedynym leczeniem jest drenaż nadmiaru płynu </w:t>
      </w:r>
      <w:proofErr w:type="spellStart"/>
      <w:r w:rsidRPr="0015401E">
        <w:rPr>
          <w:rFonts w:ascii="Century Gothic" w:hAnsi="Century Gothic" w:cs="Arial"/>
          <w:snapToGrid w:val="0"/>
          <w:sz w:val="24"/>
          <w:szCs w:val="24"/>
        </w:rPr>
        <w:t>m-r</w:t>
      </w:r>
      <w:proofErr w:type="spellEnd"/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 poza układ komorowy; w przypadku wodogłowia </w:t>
      </w:r>
      <w:proofErr w:type="spellStart"/>
      <w:r w:rsidRPr="0015401E">
        <w:rPr>
          <w:rFonts w:ascii="Century Gothic" w:hAnsi="Century Gothic" w:cs="Arial"/>
          <w:snapToGrid w:val="0"/>
          <w:sz w:val="24"/>
          <w:szCs w:val="24"/>
        </w:rPr>
        <w:t>obturacyjnego</w:t>
      </w:r>
      <w:proofErr w:type="spellEnd"/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 – z ucisku dróg krążenia płynu mózgowo-rdzeniowego,  można rozważyć wykonanie endoskopowej </w:t>
      </w:r>
      <w:proofErr w:type="spellStart"/>
      <w:r w:rsidRPr="0015401E">
        <w:rPr>
          <w:rFonts w:ascii="Century Gothic" w:hAnsi="Century Gothic" w:cs="Arial"/>
          <w:snapToGrid w:val="0"/>
          <w:sz w:val="24"/>
          <w:szCs w:val="24"/>
        </w:rPr>
        <w:t>ventriculostomii</w:t>
      </w:r>
      <w:proofErr w:type="spellEnd"/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 </w:t>
      </w:r>
      <w:proofErr w:type="spellStart"/>
      <w:r w:rsidRPr="0015401E">
        <w:rPr>
          <w:rFonts w:ascii="Century Gothic" w:hAnsi="Century Gothic" w:cs="Arial"/>
          <w:snapToGrid w:val="0"/>
          <w:sz w:val="24"/>
          <w:szCs w:val="24"/>
        </w:rPr>
        <w:t>III-ciej</w:t>
      </w:r>
      <w:proofErr w:type="spellEnd"/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 komory</w:t>
      </w:r>
      <w:r w:rsidR="00812F90">
        <w:rPr>
          <w:rFonts w:ascii="Century Gothic" w:hAnsi="Century Gothic" w:cs="Arial"/>
          <w:snapToGrid w:val="0"/>
          <w:sz w:val="24"/>
          <w:szCs w:val="24"/>
        </w:rPr>
        <w:t>.</w:t>
      </w:r>
    </w:p>
    <w:p w:rsidR="0015401E" w:rsidRPr="0015401E" w:rsidRDefault="0015401E" w:rsidP="00812F90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15401E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wystąpienie bądź też nasilenie się różnych objawów chorobowych doprowadzających w efekcie do poważnego i trwałego uszczerbku na zdrowiu czy utraty życia.</w:t>
      </w:r>
    </w:p>
    <w:p w:rsidR="0015401E" w:rsidRPr="0015401E" w:rsidRDefault="0015401E" w:rsidP="00812F90">
      <w:pPr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Zabieg poprzedzony zostanie ogoleniem włosów na głowie. O zakresie golenia włosów decyduje lekarz. </w:t>
      </w:r>
    </w:p>
    <w:p w:rsidR="0015401E" w:rsidRPr="0015401E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Założenie zastawki komorowo – otrzewnowej polega na wprowadzeniu systemu drenów i zastawki, łączących układ komorowy mózgu z jamą otrzewnową. Dreny przeprowadzone są w tkance podskórnej na głowie, szyi, w obrębie klatki piersiowej oraz brzucha.  Implantacja zastawki komorowo-otrzewnowej wiąże się tym samym z pozostawieniem ciała obcego.</w:t>
      </w:r>
    </w:p>
    <w:p w:rsidR="00812F90" w:rsidRDefault="0015401E" w:rsidP="00812F90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Na skórze głowy wykonuje się niewielkie nacięcie, następnie wierci się otwór trepanacyjny. </w:t>
      </w:r>
    </w:p>
    <w:p w:rsidR="0015401E" w:rsidRPr="0015401E" w:rsidRDefault="0015401E" w:rsidP="00707975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Po wywierceniu otworu w czaszce wprowadza się dren do układu komorowego mózgu. Do drenu mocuje się zastawkę, a sam dren przeprowadza dalej w tkance podskórnej głowy, szyi, klatki piersiowej oraz brzucha. W celu ułatwienia </w:t>
      </w:r>
      <w:r w:rsidRPr="0015401E">
        <w:rPr>
          <w:rFonts w:ascii="Century Gothic" w:hAnsi="Century Gothic" w:cs="Arial"/>
          <w:sz w:val="24"/>
          <w:szCs w:val="24"/>
        </w:rPr>
        <w:lastRenderedPageBreak/>
        <w:t>przeprowadzenia drenu wykonuje się kilka dodatkowych niewielkich nacięć skóry najczęściej w obrębie skóry szyi, klatki piersiowej. Drugi koniec drenu wprowadza się do jamy otrzewnej po nacięciu powłok brzusznych. Operację przeprowadza się w znieczuleniu ogólnym. O szczegółach i zagrożeniach związanych ze znieczuleniem poinformuje Panią/Pana lekarz anestezjolog. Po zabiegu operacyjnym wróci Pani/Pan na salę chorych. W przypadku dolegliwości bólowych zlecone będzie miał/a Pan/Pani leki przeciwbólowe.</w:t>
      </w: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Jeżeli mimo podawanych leków odczuwać będzie Pan/Pani dolegliwości bólowe należy zgłosić to lekarzowi, a zmieni on dawki leków lub dołączy leki o silniejszym działaniu. </w:t>
      </w: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O WSZYSTKICH WIADOMYCH PAŃSTWU UCZULENIACH NA LEKI LUB ŚRODKI MEDYCZNE NALEŻY KONIECZNIE POINFORMOWAĆ PERSONEL MEDYCZNY. Lekarz poinformuje Panią/Pana o możliwości opuszczenia łóżka. Procedura leczenia chirurgicznego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</w:t>
      </w:r>
    </w:p>
    <w:p w:rsidR="0015401E" w:rsidRPr="0015401E" w:rsidRDefault="000A7C4C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            </w:t>
      </w:r>
      <w:r w:rsidR="0015401E" w:rsidRPr="0015401E">
        <w:rPr>
          <w:rFonts w:ascii="Century Gothic" w:hAnsi="Century Gothic" w:cs="Arial"/>
          <w:sz w:val="24"/>
          <w:szCs w:val="24"/>
        </w:rPr>
        <w:t xml:space="preserve">                                                                                                                 </w:t>
      </w:r>
    </w:p>
    <w:p w:rsidR="0015401E" w:rsidRPr="0015401E" w:rsidRDefault="0015401E" w:rsidP="00707975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15401E" w:rsidRPr="0015401E" w:rsidRDefault="0015401E" w:rsidP="000A7C4C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Do powikłań, które mogą pojawić się w trakcie operacji lub w okresie pooperacyjnym należą m.in.:</w:t>
      </w:r>
    </w:p>
    <w:p w:rsidR="0015401E" w:rsidRPr="0015401E" w:rsidRDefault="0015401E" w:rsidP="000A7C4C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-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niedodrenowanie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 xml:space="preserve"> – niewydolny układ zastawkowy (uszkodzenie mechaniczne, zablokowanie układu przez tkanki lub wysokobiałkowy płyn)</w:t>
      </w: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</w:t>
      </w:r>
      <w:r w:rsidR="000A7C4C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>zakażenie rany, zapalenie opon mózgowo – rdzeniowych, ropień, ropniak – wyleczenie infekcji wiąże się  z usunięciem całego lub części układu zastawkowego</w:t>
      </w: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-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przedrenowanie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 xml:space="preserve"> – nadmierne odprowadzanie płynu mózgowo – rdzeniowego</w:t>
      </w:r>
    </w:p>
    <w:p w:rsidR="0015401E" w:rsidRPr="0015401E" w:rsidRDefault="0015401E" w:rsidP="000A7C4C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padaczka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zapalenie otrzewnej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przepuklina powłok brzusznych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martwica skóry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krwiak przymózgowy, śródmózgowy, wodniak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lastRenderedPageBreak/>
        <w:t>- nieprawidłowa implantacja drenów – skutkujące reoperacją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miejscowe uszkodzenie narządów głowy, szyi, klatki piersiowej oraz jamy br</w:t>
      </w:r>
      <w:r w:rsidR="00840364">
        <w:rPr>
          <w:rFonts w:ascii="Century Gothic" w:hAnsi="Century Gothic" w:cs="Arial"/>
          <w:sz w:val="24"/>
          <w:szCs w:val="24"/>
        </w:rPr>
        <w:t xml:space="preserve">zusznej podczas wprowadzania  </w:t>
      </w:r>
      <w:r w:rsidRPr="0015401E">
        <w:rPr>
          <w:rFonts w:ascii="Century Gothic" w:hAnsi="Century Gothic" w:cs="Arial"/>
          <w:sz w:val="24"/>
          <w:szCs w:val="24"/>
        </w:rPr>
        <w:t>drenów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reakcje uczuleniowe na materiał, z którego wykonane są elementy układu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nieprawidłowe gojenie tkanek – bliznowiec</w:t>
      </w: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- wyciek płynu mózgowo-rdzeniowego.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 xml:space="preserve"> ma wpływ na przebieg gojenia się rany oraz zwiększa     </w:t>
      </w: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  ryzyko infekcji.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 xml:space="preserve"> może wymagać zastosowania zewnętrznego drenażu lędźwiowego lub ponownej  </w:t>
      </w: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 xml:space="preserve">  operacji. Ryzyko wystąpienia </w:t>
      </w:r>
      <w:proofErr w:type="spellStart"/>
      <w:r w:rsidRPr="0015401E">
        <w:rPr>
          <w:rFonts w:ascii="Century Gothic" w:hAnsi="Century Gothic" w:cs="Arial"/>
          <w:sz w:val="24"/>
          <w:szCs w:val="24"/>
        </w:rPr>
        <w:t>płynotoku</w:t>
      </w:r>
      <w:proofErr w:type="spellEnd"/>
      <w:r w:rsidRPr="0015401E">
        <w:rPr>
          <w:rFonts w:ascii="Century Gothic" w:hAnsi="Century Gothic" w:cs="Arial"/>
          <w:sz w:val="24"/>
          <w:szCs w:val="24"/>
        </w:rPr>
        <w:t xml:space="preserve"> jest większe w grupie chorych operowanych po raz kolejny.</w:t>
      </w: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zakrzepica żył głębokich mogąca spowodować zatorowość płucną.</w:t>
      </w: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 zbyt duże i przeszkadzające blizny, które mogą powstawać w przypadku skłonności osobniczych lub</w:t>
      </w:r>
      <w:r w:rsidR="00840364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>komplikacji w procesie gojenia.</w:t>
      </w:r>
    </w:p>
    <w:p w:rsidR="0015401E" w:rsidRPr="0015401E" w:rsidRDefault="0015401E" w:rsidP="00840364">
      <w:pPr>
        <w:jc w:val="both"/>
        <w:rPr>
          <w:rFonts w:ascii="Century Gothic" w:hAnsi="Century Gothic" w:cs="Arial"/>
          <w:b/>
          <w:sz w:val="24"/>
          <w:szCs w:val="24"/>
        </w:rPr>
      </w:pP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15401E">
        <w:rPr>
          <w:rFonts w:ascii="Century Gothic" w:hAnsi="Century Gothic" w:cs="Arial"/>
          <w:b/>
          <w:sz w:val="24"/>
          <w:szCs w:val="24"/>
        </w:rPr>
        <w:t>Możliwe następstwa operacji: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</w:t>
      </w:r>
      <w:r w:rsidR="00840364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>blizny: na skórze głowy, szyi, klatki piersiowej i brzucha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</w:t>
      </w:r>
      <w:r w:rsidR="00840364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>ból pooperacyjny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</w:t>
      </w:r>
      <w:r w:rsidR="00840364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 xml:space="preserve">ciało obce w mózgu, jamie brzusznej, tkance podskórnej szyi, klatki piersiowej i </w:t>
      </w:r>
      <w:r w:rsidR="00840364">
        <w:rPr>
          <w:rFonts w:ascii="Century Gothic" w:hAnsi="Century Gothic" w:cs="Arial"/>
          <w:sz w:val="24"/>
          <w:szCs w:val="24"/>
        </w:rPr>
        <w:t xml:space="preserve">  </w:t>
      </w:r>
      <w:r w:rsidRPr="0015401E">
        <w:rPr>
          <w:rFonts w:ascii="Century Gothic" w:hAnsi="Century Gothic" w:cs="Arial"/>
          <w:sz w:val="24"/>
          <w:szCs w:val="24"/>
        </w:rPr>
        <w:t>brzucha; opcjonalnie mechanizm antysyfonowy</w:t>
      </w:r>
    </w:p>
    <w:p w:rsidR="00840364" w:rsidRDefault="0015401E" w:rsidP="00E305C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-</w:t>
      </w:r>
      <w:r w:rsidR="00840364">
        <w:rPr>
          <w:rFonts w:ascii="Century Gothic" w:hAnsi="Century Gothic" w:cs="Arial"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sz w:val="24"/>
          <w:szCs w:val="24"/>
        </w:rPr>
        <w:t>elementy układu mogą być wyczuwalne, a nawet w widoczny sposób modelować skórę.</w:t>
      </w:r>
    </w:p>
    <w:p w:rsidR="00840364" w:rsidRPr="0015401E" w:rsidRDefault="00840364" w:rsidP="00840364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15401E" w:rsidRPr="0015401E" w:rsidRDefault="0015401E" w:rsidP="00840364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15401E">
        <w:rPr>
          <w:rFonts w:ascii="Century Gothic" w:hAnsi="Century Gothic" w:cs="Arial"/>
          <w:b/>
          <w:sz w:val="24"/>
          <w:szCs w:val="24"/>
        </w:rPr>
        <w:t xml:space="preserve"> Infekcje:</w:t>
      </w:r>
    </w:p>
    <w:p w:rsidR="0015401E" w:rsidRPr="0015401E" w:rsidRDefault="0015401E" w:rsidP="00840364">
      <w:pPr>
        <w:numPr>
          <w:ilvl w:val="0"/>
          <w:numId w:val="10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powierzchowne infekcje, powodujące przedłużone gojenie się rany, mogące wymagać stosowania</w:t>
      </w:r>
    </w:p>
    <w:p w:rsidR="0015401E" w:rsidRPr="0015401E" w:rsidRDefault="0015401E" w:rsidP="00840364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miejscowego lub ogólnego antybiotyków. W niektórych przypadkach także rewizji rany. Zwiększone ryzyko infekcji występuje u osób starszych, otyłych, chorujących na cukrzycę lub chorobę nowotworową, przyjmujących przewlekle leki sterydowe, u pacjentów ponownie operowanych lub po radioterapii, w przypadku długotrwałych operacji.</w:t>
      </w:r>
    </w:p>
    <w:p w:rsidR="0015401E" w:rsidRPr="0015401E" w:rsidRDefault="0015401E" w:rsidP="00840364">
      <w:pPr>
        <w:numPr>
          <w:ilvl w:val="0"/>
          <w:numId w:val="10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lastRenderedPageBreak/>
        <w:t xml:space="preserve">infekcje głębokie- występują rzadziej, a obejmują m.in. ropień nadtwardówkowy, ropień </w:t>
      </w:r>
      <w:r w:rsidR="00707975">
        <w:rPr>
          <w:rFonts w:ascii="Century Gothic" w:hAnsi="Century Gothic" w:cs="Arial"/>
          <w:sz w:val="24"/>
          <w:szCs w:val="24"/>
        </w:rPr>
        <w:t xml:space="preserve">śródmózgowy, zapalenie opon mózgowo-rdzeniowych i/lub mózgu. </w:t>
      </w:r>
    </w:p>
    <w:p w:rsidR="0015401E" w:rsidRPr="0015401E" w:rsidRDefault="0015401E" w:rsidP="00D836D4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Zwiększone ryzyko infekcji występuje u osób starszych, u osób z cukrzycą, u osób przyjmujących przewlekle leki sterydowe, u chorych z zastosowanym wcześniej drenażem zewnętrznym układu komorowego, z założonym cewnikiem do pęcherza moczowego, wkłuciem centralnym, w przypadku długotrwałych operacji.</w:t>
      </w:r>
    </w:p>
    <w:p w:rsidR="0015401E" w:rsidRPr="0015401E" w:rsidRDefault="0015401E" w:rsidP="00D836D4">
      <w:pPr>
        <w:tabs>
          <w:tab w:val="num" w:pos="-709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15401E" w:rsidRPr="0015401E" w:rsidRDefault="0015401E" w:rsidP="00840364">
      <w:pPr>
        <w:tabs>
          <w:tab w:val="num" w:pos="-709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15401E" w:rsidRPr="0015401E" w:rsidRDefault="0015401E" w:rsidP="00840364">
      <w:pPr>
        <w:tabs>
          <w:tab w:val="num" w:pos="-709"/>
        </w:tabs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15401E" w:rsidRPr="0015401E" w:rsidRDefault="0015401E" w:rsidP="00840364">
      <w:pPr>
        <w:tabs>
          <w:tab w:val="num" w:pos="-709"/>
        </w:tabs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15401E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840364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15401E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15401E" w:rsidRPr="0015401E" w:rsidRDefault="0015401E" w:rsidP="0015401E">
      <w:pPr>
        <w:jc w:val="both"/>
        <w:rPr>
          <w:rFonts w:ascii="Century Gothic" w:hAnsi="Century Gothic"/>
          <w:sz w:val="24"/>
          <w:szCs w:val="24"/>
        </w:rPr>
      </w:pPr>
    </w:p>
    <w:p w:rsidR="0015401E" w:rsidRPr="0015401E" w:rsidRDefault="0015401E" w:rsidP="00840364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15401E">
        <w:rPr>
          <w:rFonts w:ascii="Century Gothic" w:hAnsi="Century Gothic"/>
          <w:sz w:val="24"/>
          <w:szCs w:val="24"/>
        </w:rPr>
        <w:t>ROKOWANIE: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5401E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15401E">
        <w:rPr>
          <w:rFonts w:ascii="Century Gothic" w:hAnsi="Century Gothic"/>
          <w:b/>
          <w:sz w:val="24"/>
          <w:szCs w:val="24"/>
        </w:rPr>
        <w:t>:</w:t>
      </w:r>
    </w:p>
    <w:p w:rsidR="0015401E" w:rsidRDefault="0015401E" w:rsidP="00840364">
      <w:pPr>
        <w:ind w:left="-709"/>
        <w:jc w:val="both"/>
        <w:rPr>
          <w:rFonts w:ascii="Century Gothic" w:hAnsi="Century Gothic"/>
          <w:b/>
          <w:i/>
          <w:sz w:val="24"/>
          <w:szCs w:val="24"/>
        </w:rPr>
      </w:pPr>
      <w:r w:rsidRPr="0015401E">
        <w:rPr>
          <w:rFonts w:ascii="Century Gothic" w:hAnsi="Century Gothic"/>
          <w:b/>
          <w:sz w:val="24"/>
          <w:szCs w:val="24"/>
        </w:rPr>
        <w:t xml:space="preserve">[   ] </w:t>
      </w:r>
      <w:r w:rsidRPr="0015401E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15401E">
        <w:rPr>
          <w:rFonts w:ascii="Century Gothic" w:hAnsi="Century Gothic"/>
          <w:b/>
          <w:i/>
          <w:sz w:val="24"/>
          <w:szCs w:val="24"/>
        </w:rPr>
        <w:tab/>
      </w:r>
      <w:r w:rsidRPr="0015401E">
        <w:rPr>
          <w:rFonts w:ascii="Century Gothic" w:hAnsi="Century Gothic"/>
          <w:b/>
          <w:i/>
          <w:sz w:val="24"/>
          <w:szCs w:val="24"/>
        </w:rPr>
        <w:tab/>
      </w:r>
      <w:r w:rsidRPr="0015401E">
        <w:rPr>
          <w:rFonts w:ascii="Century Gothic" w:hAnsi="Century Gothic"/>
          <w:b/>
          <w:sz w:val="24"/>
          <w:szCs w:val="24"/>
        </w:rPr>
        <w:t xml:space="preserve">[   ] </w:t>
      </w:r>
      <w:r w:rsidRPr="0015401E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15401E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15401E">
        <w:rPr>
          <w:rFonts w:ascii="Century Gothic" w:hAnsi="Century Gothic"/>
          <w:b/>
          <w:i/>
          <w:sz w:val="24"/>
          <w:szCs w:val="24"/>
        </w:rPr>
        <w:tab/>
      </w:r>
      <w:r w:rsidRPr="0015401E">
        <w:rPr>
          <w:rFonts w:ascii="Century Gothic" w:hAnsi="Century Gothic"/>
          <w:b/>
          <w:i/>
          <w:sz w:val="24"/>
          <w:szCs w:val="24"/>
        </w:rPr>
        <w:tab/>
      </w:r>
      <w:r w:rsidRPr="0015401E">
        <w:rPr>
          <w:rFonts w:ascii="Century Gothic" w:hAnsi="Century Gothic"/>
          <w:b/>
          <w:sz w:val="24"/>
          <w:szCs w:val="24"/>
        </w:rPr>
        <w:t xml:space="preserve">[   ] </w:t>
      </w:r>
      <w:r w:rsidRPr="0015401E">
        <w:rPr>
          <w:rFonts w:ascii="Century Gothic" w:hAnsi="Century Gothic"/>
          <w:b/>
          <w:i/>
          <w:sz w:val="24"/>
          <w:szCs w:val="24"/>
        </w:rPr>
        <w:t>ograniczone</w:t>
      </w:r>
    </w:p>
    <w:p w:rsidR="00E305C4" w:rsidRPr="00840364" w:rsidRDefault="00E305C4" w:rsidP="00D836D4">
      <w:pPr>
        <w:jc w:val="both"/>
        <w:rPr>
          <w:rFonts w:ascii="Century Gothic" w:hAnsi="Century Gothic"/>
          <w:b/>
          <w:sz w:val="24"/>
          <w:szCs w:val="24"/>
        </w:rPr>
      </w:pP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15401E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15401E" w:rsidRPr="0015401E" w:rsidRDefault="0015401E" w:rsidP="00E305C4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wystąpienie bądź też nasilenie się różnych objawów doprowadzających w efekcie do poważnego i trwałego uszczerbku na zdrowiu lub/i utraty życia.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15401E" w:rsidRPr="0015401E" w:rsidRDefault="0015401E" w:rsidP="00840364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15401E" w:rsidRPr="0015401E" w:rsidRDefault="0015401E" w:rsidP="00840364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15401E">
        <w:rPr>
          <w:rFonts w:ascii="Century Gothic" w:eastAsia="ArialMT" w:hAnsi="Century Gothic" w:cs="Arial"/>
          <w:sz w:val="24"/>
          <w:szCs w:val="24"/>
        </w:rPr>
        <w:t xml:space="preserve">W czasie zabiegu operacyjnego możemy stwierdzić istnienie szczególnych i trudnych do przewidzenia okoliczności, które mogą wymagać zmiany lub rozszerzenia wstępnie proponowanej operacji. W rzadkich przypadkach może się to wiązać ze znacznym </w:t>
      </w:r>
      <w:r w:rsidRPr="0015401E">
        <w:rPr>
          <w:rFonts w:ascii="Century Gothic" w:eastAsia="ArialMT" w:hAnsi="Century Gothic" w:cs="Arial"/>
          <w:sz w:val="24"/>
          <w:szCs w:val="24"/>
        </w:rPr>
        <w:lastRenderedPageBreak/>
        <w:t>rozszerzeniem operacji, którego następstwa wykraczają poza zakres informacji zamieszczonych w niniejszym formularzu.</w:t>
      </w:r>
    </w:p>
    <w:p w:rsidR="0015401E" w:rsidRPr="0015401E" w:rsidRDefault="0015401E" w:rsidP="00840364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15401E" w:rsidRPr="0015401E" w:rsidRDefault="0015401E" w:rsidP="00840364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15401E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15401E" w:rsidRPr="0015401E" w:rsidRDefault="0015401E" w:rsidP="00840364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15401E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15401E" w:rsidRPr="0015401E" w:rsidRDefault="0015401E" w:rsidP="00840364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15401E" w:rsidRPr="0015401E" w:rsidRDefault="0015401E" w:rsidP="00840364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REKONWALESCENCJA: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15401E" w:rsidRPr="0015401E" w:rsidRDefault="00E227E7" w:rsidP="0015401E">
      <w:pPr>
        <w:pStyle w:val="Nagwek1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388.65pt;margin-top:6.85pt;width:102.75pt;height:18.6pt;z-index:251660288;mso-height-percent:200;mso-height-percent:200;mso-width-relative:margin;mso-height-relative:margin" stroked="f">
            <v:textbox style="mso-fit-shape-to-text:t">
              <w:txbxContent>
                <w:p w:rsidR="0015401E" w:rsidRPr="008F1569" w:rsidRDefault="0015401E" w:rsidP="0015401E"/>
              </w:txbxContent>
            </v:textbox>
          </v:shape>
        </w:pict>
      </w:r>
    </w:p>
    <w:p w:rsidR="0015401E" w:rsidRPr="0015401E" w:rsidRDefault="0015401E" w:rsidP="00840364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PYTANIA PACJENTA:</w:t>
      </w:r>
    </w:p>
    <w:p w:rsidR="0015401E" w:rsidRPr="00840364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........................................................................................................................................................</w:t>
      </w:r>
      <w:r w:rsidR="00840364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</w:t>
      </w:r>
    </w:p>
    <w:p w:rsidR="0015401E" w:rsidRPr="0015401E" w:rsidRDefault="0015401E" w:rsidP="00840364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OŚWIADCZENIE PACJENTA: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840364" w:rsidRPr="0015401E" w:rsidRDefault="00840364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15401E" w:rsidRPr="0015401E" w:rsidRDefault="0015401E" w:rsidP="00840364">
      <w:pPr>
        <w:pStyle w:val="Bezodstpw"/>
        <w:numPr>
          <w:ilvl w:val="0"/>
          <w:numId w:val="10"/>
        </w:numPr>
        <w:tabs>
          <w:tab w:val="clear" w:pos="720"/>
          <w:tab w:val="num" w:pos="0"/>
        </w:tabs>
        <w:ind w:left="0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lastRenderedPageBreak/>
        <w:t>rozpoznania</w:t>
      </w:r>
    </w:p>
    <w:p w:rsidR="00840364" w:rsidRDefault="0015401E" w:rsidP="00840364">
      <w:pPr>
        <w:pStyle w:val="Bezodstpw"/>
        <w:numPr>
          <w:ilvl w:val="0"/>
          <w:numId w:val="10"/>
        </w:numPr>
        <w:tabs>
          <w:tab w:val="clear" w:pos="720"/>
          <w:tab w:val="num" w:pos="-142"/>
        </w:tabs>
        <w:ind w:left="709" w:hanging="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  <w:r w:rsidR="00840364">
        <w:rPr>
          <w:rFonts w:ascii="Century Gothic" w:hAnsi="Century Gothic" w:cs="Arial"/>
          <w:snapToGrid w:val="0"/>
          <w:sz w:val="24"/>
          <w:szCs w:val="24"/>
        </w:rPr>
        <w:t xml:space="preserve"> </w:t>
      </w:r>
    </w:p>
    <w:p w:rsidR="0015401E" w:rsidRPr="00840364" w:rsidRDefault="0015401E" w:rsidP="00840364">
      <w:pPr>
        <w:pStyle w:val="Bezodstpw"/>
        <w:numPr>
          <w:ilvl w:val="0"/>
          <w:numId w:val="10"/>
        </w:numPr>
        <w:tabs>
          <w:tab w:val="clear" w:pos="720"/>
          <w:tab w:val="num" w:pos="-142"/>
        </w:tabs>
        <w:ind w:left="709" w:hanging="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840364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15401E" w:rsidRPr="0015401E" w:rsidRDefault="0015401E" w:rsidP="00840364">
      <w:pPr>
        <w:pStyle w:val="Bezodstpw"/>
        <w:numPr>
          <w:ilvl w:val="0"/>
          <w:numId w:val="10"/>
        </w:numPr>
        <w:tabs>
          <w:tab w:val="clear" w:pos="720"/>
          <w:tab w:val="num" w:pos="0"/>
        </w:tabs>
        <w:ind w:left="0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15401E" w:rsidRPr="0015401E" w:rsidRDefault="0015401E" w:rsidP="00840364">
      <w:pPr>
        <w:pStyle w:val="Bezodstpw"/>
        <w:numPr>
          <w:ilvl w:val="0"/>
          <w:numId w:val="10"/>
        </w:numPr>
        <w:tabs>
          <w:tab w:val="clear" w:pos="720"/>
          <w:tab w:val="num" w:pos="0"/>
        </w:tabs>
        <w:ind w:left="0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15401E" w:rsidRPr="0015401E" w:rsidRDefault="0015401E" w:rsidP="00840364">
      <w:pPr>
        <w:pStyle w:val="Akapitzlist"/>
        <w:numPr>
          <w:ilvl w:val="0"/>
          <w:numId w:val="10"/>
        </w:numPr>
        <w:tabs>
          <w:tab w:val="clear" w:pos="720"/>
          <w:tab w:val="num" w:pos="0"/>
        </w:tabs>
        <w:ind w:left="0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15401E" w:rsidRPr="00364DCA" w:rsidRDefault="0015401E" w:rsidP="000E1BB9">
      <w:pPr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15401E" w:rsidRPr="00364DCA" w:rsidRDefault="0015401E" w:rsidP="00840364">
      <w:pPr>
        <w:pStyle w:val="Akapitzlist"/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364DCA">
        <w:rPr>
          <w:rFonts w:ascii="Century Gothic" w:hAnsi="Century Gothic" w:cs="Arial"/>
          <w:b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15401E" w:rsidRPr="0015401E" w:rsidRDefault="0015401E" w:rsidP="0084036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15401E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15401E" w:rsidRPr="0015401E" w:rsidRDefault="0015401E" w:rsidP="0015401E">
      <w:pPr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15401E" w:rsidRPr="0015401E" w:rsidRDefault="0015401E" w:rsidP="000E1BB9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z w:val="24"/>
          <w:szCs w:val="24"/>
        </w:rPr>
        <w:t>UWAGI LEKARZA</w:t>
      </w:r>
    </w:p>
    <w:p w:rsidR="0015401E" w:rsidRPr="0015401E" w:rsidRDefault="0015401E" w:rsidP="000E1BB9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0E1BB9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0E1BB9" w:rsidRPr="00D836D4" w:rsidRDefault="0015401E" w:rsidP="00D836D4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0E1BB9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15401E" w:rsidRDefault="0015401E" w:rsidP="000E1BB9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15401E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p w:rsidR="000E1BB9" w:rsidRPr="0015401E" w:rsidRDefault="000E1BB9" w:rsidP="000E1BB9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15401E" w:rsidRPr="0015401E" w:rsidTr="00D836D4">
        <w:trPr>
          <w:trHeight w:val="727"/>
          <w:jc w:val="center"/>
        </w:trPr>
        <w:tc>
          <w:tcPr>
            <w:tcW w:w="4219" w:type="dxa"/>
            <w:vAlign w:val="center"/>
          </w:tcPr>
          <w:p w:rsidR="0015401E" w:rsidRPr="0015401E" w:rsidRDefault="0015401E" w:rsidP="000E1BB9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15401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353" w:type="dxa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15401E" w:rsidRPr="0015401E" w:rsidTr="00D836D4">
        <w:trPr>
          <w:trHeight w:val="727"/>
          <w:jc w:val="center"/>
        </w:trPr>
        <w:tc>
          <w:tcPr>
            <w:tcW w:w="4219" w:type="dxa"/>
            <w:vAlign w:val="center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15401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15401E" w:rsidRDefault="0015401E" w:rsidP="0015401E">
      <w:pPr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0E1BB9" w:rsidRPr="0015401E" w:rsidRDefault="000E1BB9" w:rsidP="0015401E">
      <w:pPr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15401E" w:rsidRPr="0015401E" w:rsidRDefault="0015401E" w:rsidP="000E1BB9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15401E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15401E" w:rsidRDefault="0015401E" w:rsidP="000E1BB9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15401E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0E1BB9" w:rsidRPr="0015401E" w:rsidRDefault="000E1BB9" w:rsidP="000E1BB9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15401E" w:rsidRPr="0015401E" w:rsidTr="00D836D4">
        <w:trPr>
          <w:trHeight w:val="727"/>
          <w:jc w:val="center"/>
        </w:trPr>
        <w:tc>
          <w:tcPr>
            <w:tcW w:w="4219" w:type="dxa"/>
            <w:vAlign w:val="center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15401E">
              <w:rPr>
                <w:rFonts w:ascii="Century Gothic" w:hAnsi="Century Gothic" w:cs="Arial"/>
                <w:snapToGrid w:val="0"/>
                <w:sz w:val="24"/>
                <w:szCs w:val="24"/>
              </w:rPr>
              <w:lastRenderedPageBreak/>
              <w:t>Data (godzinowa) oraz podpis pacjenta lub przedstawiciela ustawowego</w:t>
            </w:r>
          </w:p>
        </w:tc>
        <w:tc>
          <w:tcPr>
            <w:tcW w:w="5353" w:type="dxa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15401E" w:rsidRPr="0015401E" w:rsidTr="00D836D4">
        <w:trPr>
          <w:trHeight w:val="727"/>
          <w:jc w:val="center"/>
        </w:trPr>
        <w:tc>
          <w:tcPr>
            <w:tcW w:w="4219" w:type="dxa"/>
            <w:vAlign w:val="center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15401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15401E" w:rsidRPr="0015401E" w:rsidRDefault="0015401E" w:rsidP="0015401E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15401E" w:rsidRPr="0015401E" w:rsidRDefault="0015401E" w:rsidP="0015401E">
      <w:pPr>
        <w:jc w:val="both"/>
        <w:rPr>
          <w:rFonts w:ascii="Century Gothic" w:hAnsi="Century Gothic" w:cs="Arial"/>
          <w:sz w:val="24"/>
          <w:szCs w:val="24"/>
        </w:rPr>
      </w:pPr>
      <w:r w:rsidRPr="0015401E">
        <w:rPr>
          <w:rFonts w:ascii="Century Gothic" w:hAnsi="Century Gothic" w:cs="Arial"/>
          <w:snapToGrid w:val="0"/>
          <w:sz w:val="24"/>
          <w:szCs w:val="24"/>
        </w:rPr>
        <w:tab/>
      </w:r>
      <w:r w:rsidRPr="0015401E">
        <w:rPr>
          <w:rFonts w:ascii="Century Gothic" w:hAnsi="Century Gothic" w:cs="Arial"/>
          <w:snapToGrid w:val="0"/>
          <w:sz w:val="24"/>
          <w:szCs w:val="24"/>
        </w:rPr>
        <w:tab/>
      </w:r>
      <w:r w:rsidRPr="0015401E">
        <w:rPr>
          <w:rFonts w:ascii="Century Gothic" w:hAnsi="Century Gothic" w:cs="Arial"/>
          <w:snapToGrid w:val="0"/>
          <w:sz w:val="24"/>
          <w:szCs w:val="24"/>
        </w:rPr>
        <w:tab/>
      </w:r>
      <w:r w:rsidRPr="0015401E">
        <w:rPr>
          <w:rFonts w:ascii="Century Gothic" w:hAnsi="Century Gothic" w:cs="Arial"/>
          <w:snapToGrid w:val="0"/>
          <w:sz w:val="24"/>
          <w:szCs w:val="24"/>
        </w:rPr>
        <w:tab/>
      </w:r>
    </w:p>
    <w:p w:rsidR="0015401E" w:rsidRPr="0015401E" w:rsidRDefault="0015401E" w:rsidP="0015401E">
      <w:pPr>
        <w:jc w:val="both"/>
        <w:rPr>
          <w:rFonts w:ascii="Century Gothic" w:hAnsi="Century Gothic" w:cs="Arial"/>
          <w:sz w:val="24"/>
          <w:szCs w:val="24"/>
        </w:rPr>
      </w:pPr>
    </w:p>
    <w:p w:rsidR="0015401E" w:rsidRPr="00102F6A" w:rsidRDefault="0015401E" w:rsidP="0015401E">
      <w:pPr>
        <w:rPr>
          <w:rFonts w:cs="Arial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F02" w:rsidRDefault="00EE1F02" w:rsidP="00E637FA">
      <w:pPr>
        <w:spacing w:after="0" w:line="240" w:lineRule="auto"/>
      </w:pPr>
      <w:r>
        <w:separator/>
      </w:r>
    </w:p>
  </w:endnote>
  <w:endnote w:type="continuationSeparator" w:id="0">
    <w:p w:rsidR="00EE1F02" w:rsidRDefault="00EE1F0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F02" w:rsidRDefault="00EE1F02" w:rsidP="00E637FA">
      <w:pPr>
        <w:spacing w:after="0" w:line="240" w:lineRule="auto"/>
      </w:pPr>
      <w:r>
        <w:separator/>
      </w:r>
    </w:p>
  </w:footnote>
  <w:footnote w:type="continuationSeparator" w:id="0">
    <w:p w:rsidR="00EE1F02" w:rsidRDefault="00EE1F0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A385A"/>
    <w:multiLevelType w:val="hybridMultilevel"/>
    <w:tmpl w:val="19ECB6E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A7C4C"/>
    <w:rsid w:val="000E1BB9"/>
    <w:rsid w:val="00110090"/>
    <w:rsid w:val="00144E21"/>
    <w:rsid w:val="0015401E"/>
    <w:rsid w:val="0019682E"/>
    <w:rsid w:val="001A2B64"/>
    <w:rsid w:val="001E7E25"/>
    <w:rsid w:val="00234411"/>
    <w:rsid w:val="002E4892"/>
    <w:rsid w:val="002F4BAB"/>
    <w:rsid w:val="00316331"/>
    <w:rsid w:val="00332339"/>
    <w:rsid w:val="00364DCA"/>
    <w:rsid w:val="003D4B62"/>
    <w:rsid w:val="00424D4A"/>
    <w:rsid w:val="00435A6E"/>
    <w:rsid w:val="004631C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07975"/>
    <w:rsid w:val="00735429"/>
    <w:rsid w:val="00750F92"/>
    <w:rsid w:val="007C26F2"/>
    <w:rsid w:val="0080591C"/>
    <w:rsid w:val="00812F90"/>
    <w:rsid w:val="00837388"/>
    <w:rsid w:val="00840364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34525"/>
    <w:rsid w:val="00B42140"/>
    <w:rsid w:val="00B5377A"/>
    <w:rsid w:val="00B57213"/>
    <w:rsid w:val="00B91DC0"/>
    <w:rsid w:val="00B91EFF"/>
    <w:rsid w:val="00BA74E2"/>
    <w:rsid w:val="00C80C58"/>
    <w:rsid w:val="00C92061"/>
    <w:rsid w:val="00CC7198"/>
    <w:rsid w:val="00D836D4"/>
    <w:rsid w:val="00D9070B"/>
    <w:rsid w:val="00DB6EB4"/>
    <w:rsid w:val="00DE014C"/>
    <w:rsid w:val="00E227E7"/>
    <w:rsid w:val="00E305C4"/>
    <w:rsid w:val="00E503B0"/>
    <w:rsid w:val="00E53D17"/>
    <w:rsid w:val="00E637FA"/>
    <w:rsid w:val="00E7219D"/>
    <w:rsid w:val="00EB4CB9"/>
    <w:rsid w:val="00EC59BF"/>
    <w:rsid w:val="00EE1F02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15401E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15401E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15401E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360A42-0C42-41BE-BD91-5305A7695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1729</Words>
  <Characters>10376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37</cp:revision>
  <cp:lastPrinted>2024-07-26T10:23:00Z</cp:lastPrinted>
  <dcterms:created xsi:type="dcterms:W3CDTF">2025-12-09T13:37:00Z</dcterms:created>
  <dcterms:modified xsi:type="dcterms:W3CDTF">2026-01-20T10:27:00Z</dcterms:modified>
</cp:coreProperties>
</file>