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AB01A1" w:rsidRDefault="00C61847" w:rsidP="00AB01A1">
      <w:pPr>
        <w:spacing w:before="79"/>
        <w:ind w:right="10"/>
        <w:jc w:val="right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BD6620">
        <w:rPr>
          <w:rFonts w:ascii="Century Gothic" w:hAnsi="Century Gothic"/>
          <w:b/>
          <w:spacing w:val="-2"/>
          <w:sz w:val="24"/>
          <w:szCs w:val="24"/>
        </w:rPr>
        <w:t>_F44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 w:rsidR="00BD6620">
        <w:rPr>
          <w:rFonts w:ascii="Century Gothic" w:hAnsi="Century Gothic"/>
          <w:b/>
          <w:spacing w:val="-2"/>
          <w:sz w:val="24"/>
          <w:szCs w:val="24"/>
        </w:rPr>
        <w:t>6</w:t>
      </w:r>
    </w:p>
    <w:p w:rsidR="00621A09" w:rsidRPr="00AB01A1" w:rsidRDefault="00C5741E" w:rsidP="00AB01A1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AB01A1">
        <w:rPr>
          <w:rFonts w:ascii="Century Gothic" w:hAnsi="Century Gothic"/>
          <w:sz w:val="24"/>
          <w:szCs w:val="24"/>
          <w:u w:val="single"/>
        </w:rPr>
        <w:t>K</w:t>
      </w:r>
      <w:r w:rsidR="00C61847" w:rsidRPr="00AB01A1">
        <w:rPr>
          <w:rFonts w:ascii="Century Gothic" w:hAnsi="Century Gothic"/>
          <w:sz w:val="24"/>
          <w:szCs w:val="24"/>
          <w:u w:val="single"/>
        </w:rPr>
        <w:t>linika Kardiologii, Farmakologii Klinicznej i Chorób Wewnętrznych</w:t>
      </w:r>
    </w:p>
    <w:p w:rsidR="00A118A4" w:rsidRPr="00A118A4" w:rsidRDefault="00A118A4" w:rsidP="009C186A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>ŚWIADOMA ZGODA</w:t>
      </w:r>
      <w:r w:rsidR="00F6500D">
        <w:rPr>
          <w:rFonts w:ascii="Century Gothic" w:hAnsi="Century Gothic"/>
          <w:b/>
          <w:sz w:val="24"/>
          <w:szCs w:val="24"/>
        </w:rPr>
        <w:t xml:space="preserve"> NA </w:t>
      </w:r>
      <w:r w:rsidR="00BD6620">
        <w:rPr>
          <w:rFonts w:ascii="Century Gothic" w:hAnsi="Century Gothic"/>
          <w:b/>
          <w:sz w:val="24"/>
          <w:szCs w:val="24"/>
        </w:rPr>
        <w:t>BADANIE INWAZYJNE KORONAGRAFII</w:t>
      </w:r>
    </w:p>
    <w:p w:rsidR="00116FEA" w:rsidRDefault="00116FEA" w:rsidP="0057653A">
      <w:pPr>
        <w:pStyle w:val="Heading1"/>
        <w:spacing w:before="126"/>
        <w:ind w:left="0" w:right="2"/>
        <w:jc w:val="center"/>
        <w:rPr>
          <w:rFonts w:ascii="Arial"/>
        </w:rPr>
      </w:pPr>
    </w:p>
    <w:p w:rsidR="00EC59BF" w:rsidRPr="00621A09" w:rsidRDefault="00EC59BF" w:rsidP="00AB01A1">
      <w:pPr>
        <w:spacing w:after="120" w:line="240" w:lineRule="auto"/>
        <w:ind w:left="-709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AB01A1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9C186A">
        <w:rPr>
          <w:rFonts w:ascii="Century Gothic" w:hAnsi="Century Gothic"/>
          <w:sz w:val="24"/>
          <w:szCs w:val="24"/>
        </w:rPr>
        <w:t>………………………………………………………….</w:t>
      </w:r>
    </w:p>
    <w:p w:rsidR="00DA38EC" w:rsidRPr="00DA38EC" w:rsidRDefault="00DA38EC" w:rsidP="00AB01A1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9C186A">
        <w:rPr>
          <w:rFonts w:ascii="Century Gothic" w:hAnsi="Century Gothic"/>
          <w:sz w:val="24"/>
          <w:szCs w:val="24"/>
        </w:rPr>
        <w:t>………………………………………………..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AB01A1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9C186A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</w:t>
      </w:r>
    </w:p>
    <w:p w:rsidR="007543B0" w:rsidRDefault="007543B0" w:rsidP="00DA38EC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BD6620" w:rsidRPr="00BD6620" w:rsidRDefault="00BD6620" w:rsidP="00A643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>Badanie inwazyjne, które Pani/Panu proponujemy wymaga Pani/a zgody. Aby tę decyzję ułatwić informujemy o rodzaju, znaczeniu i możliwych powikłaniach proponowanego badania.</w:t>
      </w:r>
    </w:p>
    <w:p w:rsidR="00881C5D" w:rsidRPr="00881C5D" w:rsidRDefault="00881C5D" w:rsidP="00881C5D">
      <w:pPr>
        <w:jc w:val="both"/>
        <w:rPr>
          <w:rFonts w:ascii="Century Gothic" w:hAnsi="Century Gothic"/>
          <w:sz w:val="24"/>
          <w:szCs w:val="24"/>
        </w:rPr>
      </w:pPr>
    </w:p>
    <w:p w:rsidR="00881C5D" w:rsidRDefault="00881C5D" w:rsidP="007D0DB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5868">
        <w:rPr>
          <w:rFonts w:ascii="Century Gothic" w:hAnsi="Century Gothic"/>
          <w:b/>
          <w:sz w:val="24"/>
          <w:szCs w:val="24"/>
        </w:rPr>
        <w:t>Dlaczego proponujemy Państwu ten zabieg ?</w:t>
      </w:r>
    </w:p>
    <w:p w:rsidR="00BD6620" w:rsidRPr="00BD6620" w:rsidRDefault="00BD6620" w:rsidP="007D0D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>Serce człowieka jest mięśniem, który kurczy się i rozkurcza aby pompować krew krążącą w organizmie. Dla swojej ogromnej pracy musi mieć zapewnioną stałą dostawę substancji odżywczych i tlenu do każdej komórki mięśnia serca, co zapewni mu układ naczyń wieńcowych. Nazwa jego wywodzi się stąd, że w kształcie wieńca oplata on całe serce.</w:t>
      </w:r>
    </w:p>
    <w:p w:rsidR="00BD6620" w:rsidRPr="00BD6620" w:rsidRDefault="00BD6620" w:rsidP="007D0D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>Tętnice wieńcowe prawa i lewa odchodzą bezpośrednio od aorty tuż przed poziomem zastawek półksiężycowych, następnie dzielą się na coraz mniejsze gałęzie wnikające w mięsień serca. Wielkość niezbędnego dla prawidłowej funkcji serca przepływu krwi przez układ wieńcowy sięga niekiedy 20% całej ilości krwi przepompowanej przez serce. Zwężenia naczyń wieńcowych spowodowane w 96% miażdżycą są przyczyną CHOROBY WIEŃCOWEJ.</w:t>
      </w:r>
    </w:p>
    <w:p w:rsidR="00BD6620" w:rsidRPr="00BD6620" w:rsidRDefault="00BD6620" w:rsidP="007B177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 xml:space="preserve">Miażdżyca polega na tym, że w następstwie niewłaściwego stylu życia i predyspozycji genetycznych odkładają się w ścianie tętnic złogi ciał tłuszczowych, krwinki, kolagen, wapń, itp. powodując </w:t>
      </w:r>
      <w:proofErr w:type="spellStart"/>
      <w:r w:rsidRPr="00BD6620">
        <w:rPr>
          <w:rFonts w:ascii="Century Gothic" w:hAnsi="Century Gothic"/>
          <w:sz w:val="24"/>
          <w:szCs w:val="24"/>
        </w:rPr>
        <w:t>wypuklanie</w:t>
      </w:r>
      <w:proofErr w:type="spellEnd"/>
      <w:r w:rsidRPr="00BD6620">
        <w:rPr>
          <w:rFonts w:ascii="Century Gothic" w:hAnsi="Century Gothic"/>
          <w:sz w:val="24"/>
          <w:szCs w:val="24"/>
        </w:rPr>
        <w:t xml:space="preserve"> się tego miejsca do światła tętnicy, hamując przepływ krwi.</w:t>
      </w:r>
    </w:p>
    <w:p w:rsidR="00BD6620" w:rsidRPr="00BD6620" w:rsidRDefault="00BD6620" w:rsidP="007B177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 xml:space="preserve">Gdy zwężone tętnice nie mogą dostarczyć wystarczającej ilości tlenu do serca powoduje to ból i dolegliwości w klatce piersiowej. Ten właśnie ból i jego ekwiwalenty nazywamy bólem wieńcowym. Ból wieńcowy najczęściej pojawia się wtedy gdy serce </w:t>
      </w:r>
      <w:r w:rsidRPr="00BD6620">
        <w:rPr>
          <w:rFonts w:ascii="Century Gothic" w:hAnsi="Century Gothic"/>
          <w:sz w:val="24"/>
          <w:szCs w:val="24"/>
        </w:rPr>
        <w:lastRenderedPageBreak/>
        <w:t>potrzebuje więcej tlenu niż zwykle, np.: w czasie wysiłku fizycznego, lub napięcia emocjonalnego.</w:t>
      </w:r>
    </w:p>
    <w:p w:rsidR="00BD6620" w:rsidRDefault="00BD6620" w:rsidP="007B177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>Stopniowo narastające zwężenie lub tworzący się na blaszce miażdżycowej zakrzep wewnątrznaczyniowy coraz bardziej utrudnia przepływ doprowadzając w ostatecznym efekcie do całkowitego zamknięcia światła tętnicy i powstania zawału w miejscu umierającej z niedokrwienia tkanki.</w:t>
      </w:r>
    </w:p>
    <w:p w:rsidR="00C93F0C" w:rsidRPr="00BD6620" w:rsidRDefault="00C93F0C" w:rsidP="007B1775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D6620" w:rsidRPr="00BD6620" w:rsidRDefault="00BD6620" w:rsidP="007B177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6620">
        <w:rPr>
          <w:rFonts w:ascii="Century Gothic" w:hAnsi="Century Gothic"/>
          <w:sz w:val="24"/>
          <w:szCs w:val="24"/>
        </w:rPr>
        <w:t>KORONAROGRAFIA - jest obecnie jedyną metodą umożliwiającą dokładną ocenę anatomiczną tętnic wieńcowych. W większości przypadków wykonywana jest w celu:</w:t>
      </w:r>
    </w:p>
    <w:p w:rsidR="00F6500D" w:rsidRPr="00353925" w:rsidRDefault="00BD6620" w:rsidP="007B1775">
      <w:pPr>
        <w:pStyle w:val="Akapitzlist"/>
        <w:numPr>
          <w:ilvl w:val="0"/>
          <w:numId w:val="1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53925">
        <w:rPr>
          <w:rFonts w:ascii="Century Gothic" w:hAnsi="Century Gothic"/>
          <w:sz w:val="24"/>
          <w:szCs w:val="24"/>
        </w:rPr>
        <w:t>Potwierdzenia lub wykluczenia zmian TT. Wieńcowych lub by-pasach</w:t>
      </w:r>
    </w:p>
    <w:p w:rsidR="00F6500D" w:rsidRDefault="00BD6620" w:rsidP="007B1775">
      <w:pPr>
        <w:pStyle w:val="Akapitzlist"/>
        <w:numPr>
          <w:ilvl w:val="0"/>
          <w:numId w:val="1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Ustalenia wskazań do leczenia inwazyjnego choroby niedokrwiennej serca oraz wybór optymalnego sposobu leczenia:</w:t>
      </w:r>
    </w:p>
    <w:p w:rsidR="00BD6620" w:rsidRDefault="00BD6620" w:rsidP="007B1775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Leczenie farmakologiczne, </w:t>
      </w:r>
    </w:p>
    <w:p w:rsidR="00BD6620" w:rsidRDefault="00BD6620" w:rsidP="007B1775">
      <w:pPr>
        <w:pStyle w:val="Akapitzlist"/>
        <w:numPr>
          <w:ilvl w:val="0"/>
          <w:numId w:val="15"/>
        </w:numPr>
        <w:ind w:left="0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Leczenie operacyjne,</w:t>
      </w:r>
    </w:p>
    <w:p w:rsidR="00BD6620" w:rsidRDefault="00BD6620" w:rsidP="007B1775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Leczenie inwazyjne: </w:t>
      </w:r>
    </w:p>
    <w:p w:rsidR="00BD6620" w:rsidRDefault="00BD6620" w:rsidP="007B1775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Balonowa plastyka naczyń</w:t>
      </w:r>
    </w:p>
    <w:p w:rsidR="00BD6620" w:rsidRDefault="00BD6620" w:rsidP="007B1775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>
        <w:rPr>
          <w:rFonts w:ascii="Century Gothic" w:hAnsi="Century Gothic"/>
          <w:sz w:val="24"/>
          <w:szCs w:val="24"/>
        </w:rPr>
        <w:t>Rotablacja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</w:p>
    <w:p w:rsidR="00BD6620" w:rsidRDefault="00BD6620" w:rsidP="007B1775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Implantacja </w:t>
      </w:r>
      <w:proofErr w:type="spellStart"/>
      <w:r>
        <w:rPr>
          <w:rFonts w:ascii="Century Gothic" w:hAnsi="Century Gothic"/>
          <w:sz w:val="24"/>
          <w:szCs w:val="24"/>
        </w:rPr>
        <w:t>stentów</w:t>
      </w:r>
      <w:proofErr w:type="spellEnd"/>
      <w:r>
        <w:rPr>
          <w:rFonts w:ascii="Century Gothic" w:hAnsi="Century Gothic"/>
          <w:sz w:val="24"/>
          <w:szCs w:val="24"/>
        </w:rPr>
        <w:t xml:space="preserve"> naczyniowych</w:t>
      </w:r>
    </w:p>
    <w:p w:rsidR="00BD6620" w:rsidRDefault="00BD6620" w:rsidP="007B1775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Inne rzadziej stosowane metody</w:t>
      </w:r>
    </w:p>
    <w:p w:rsidR="00BA0484" w:rsidRDefault="00BA0484" w:rsidP="00BA0484">
      <w:pPr>
        <w:pStyle w:val="Akapitzlist"/>
        <w:ind w:left="2938" w:firstLine="0"/>
        <w:jc w:val="both"/>
        <w:rPr>
          <w:rFonts w:ascii="Century Gothic" w:hAnsi="Century Gothic"/>
          <w:sz w:val="24"/>
          <w:szCs w:val="24"/>
        </w:rPr>
      </w:pPr>
    </w:p>
    <w:p w:rsidR="00C93F0C" w:rsidRDefault="00C93F0C" w:rsidP="00BA0484">
      <w:pPr>
        <w:pStyle w:val="Akapitzlist"/>
        <w:ind w:left="2938" w:firstLine="0"/>
        <w:jc w:val="both"/>
        <w:rPr>
          <w:rFonts w:ascii="Century Gothic" w:hAnsi="Century Gothic"/>
          <w:sz w:val="24"/>
          <w:szCs w:val="24"/>
        </w:rPr>
      </w:pPr>
    </w:p>
    <w:p w:rsidR="00BA0484" w:rsidRPr="00BA0484" w:rsidRDefault="00BA0484" w:rsidP="007B177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0484">
        <w:rPr>
          <w:rFonts w:ascii="Century Gothic" w:hAnsi="Century Gothic"/>
          <w:b/>
          <w:sz w:val="24"/>
          <w:szCs w:val="24"/>
        </w:rPr>
        <w:t>Opis badania</w:t>
      </w:r>
    </w:p>
    <w:p w:rsidR="00BA0484" w:rsidRPr="00BA0484" w:rsidRDefault="00BA0484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484">
        <w:rPr>
          <w:rFonts w:ascii="Century Gothic" w:hAnsi="Century Gothic"/>
          <w:sz w:val="24"/>
          <w:szCs w:val="24"/>
        </w:rPr>
        <w:t xml:space="preserve">Badanie wykonywane jest w znieczuleniu miejscowym u pacjenta pozostającego na czczo. Po uprzednim </w:t>
      </w:r>
      <w:proofErr w:type="spellStart"/>
      <w:r w:rsidRPr="00BA0484">
        <w:rPr>
          <w:rFonts w:ascii="Century Gothic" w:hAnsi="Century Gothic"/>
          <w:sz w:val="24"/>
          <w:szCs w:val="24"/>
        </w:rPr>
        <w:t>ostrzyknięciu</w:t>
      </w:r>
      <w:proofErr w:type="spellEnd"/>
      <w:r w:rsidRPr="00BA0484">
        <w:rPr>
          <w:rFonts w:ascii="Century Gothic" w:hAnsi="Century Gothic"/>
          <w:sz w:val="24"/>
          <w:szCs w:val="24"/>
        </w:rPr>
        <w:t xml:space="preserve"> skóry środkiem znieczulającym na prawym lub lewym przedramieniu lekarz wykonuje niewielkie nacięcie przez które nakłuwa tętnicę promieniową. Rzadziej stosuje się dostęp przez tętnicę udową – wówczas miejscem nakłucia jest prawa lub lewa pachwina. Po rozszerzeniu miejsca nakłucia tętnicy i wprowadzeniu do niej specjalnej ”koszulki” przez tętnicę wprowadzony zostaje cienki cewnik, którego zakończenie zostaje umieszczone w opuszce aorty w ujściu naczynia wieńcowego. Wstrzyknięcie do naczynia wieńcowego środka „kontrastowego” pozwala zarejestrować rentgenowski obraz naczynia, ocenić obecność przewężeń krążenia obocznego bądź innych anomalii.</w:t>
      </w:r>
    </w:p>
    <w:p w:rsidR="00BA0484" w:rsidRDefault="00BA0484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484">
        <w:rPr>
          <w:rFonts w:ascii="Century Gothic" w:hAnsi="Century Gothic"/>
          <w:sz w:val="24"/>
          <w:szCs w:val="24"/>
        </w:rPr>
        <w:t>Po zakończeniu badania na miejsce nakłucia założony zostaje na kilka godzin opatrunek uciskowy. Przez pierwsze godziny po badaniu pacjent pozostaje w pozycji leżącej, w tym czasie może normalnie spożywać posiłki. Najważniejszą korzyścią dla chorego wynikającą z badania jest możliwość wyboru optymalnej metody leczenia.</w:t>
      </w:r>
    </w:p>
    <w:p w:rsidR="00C93F0C" w:rsidRPr="00BA0484" w:rsidRDefault="00C93F0C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A0484" w:rsidRPr="00BA0484" w:rsidRDefault="00BA0484" w:rsidP="005A763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0484">
        <w:rPr>
          <w:rFonts w:ascii="Century Gothic" w:hAnsi="Century Gothic"/>
          <w:b/>
          <w:sz w:val="24"/>
          <w:szCs w:val="24"/>
        </w:rPr>
        <w:lastRenderedPageBreak/>
        <w:t>Jak przygotować się do koronarografii?</w:t>
      </w:r>
    </w:p>
    <w:p w:rsidR="00BA0484" w:rsidRDefault="00BA0484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484">
        <w:rPr>
          <w:rFonts w:ascii="Century Gothic" w:hAnsi="Century Gothic"/>
          <w:sz w:val="24"/>
          <w:szCs w:val="24"/>
        </w:rPr>
        <w:t>Przez 6 godzin przed zabiegiem nie może Pan/i spożywać posiłków ani pić. Jeśli zażywa Pan/i jakieś leki na stałe, można je przyjąć popijając niewielką ilością wody, o ile lekarz nie zaleci inaczej. Należy koniecznie poinformować lekarza o przyjmowaniu leków zmniejszających krzepliwość krwi (</w:t>
      </w:r>
      <w:proofErr w:type="spellStart"/>
      <w:r w:rsidRPr="00BA0484">
        <w:rPr>
          <w:rFonts w:ascii="Century Gothic" w:hAnsi="Century Gothic"/>
          <w:sz w:val="24"/>
          <w:szCs w:val="24"/>
        </w:rPr>
        <w:t>Acenocumarol</w:t>
      </w:r>
      <w:proofErr w:type="spellEnd"/>
      <w:r w:rsidRPr="00BA0484">
        <w:rPr>
          <w:rFonts w:ascii="Century Gothic" w:hAnsi="Century Gothic"/>
          <w:sz w:val="24"/>
          <w:szCs w:val="24"/>
        </w:rPr>
        <w:t xml:space="preserve">, Sintrom, </w:t>
      </w:r>
      <w:proofErr w:type="spellStart"/>
      <w:r w:rsidRPr="00BA0484">
        <w:rPr>
          <w:rFonts w:ascii="Century Gothic" w:hAnsi="Century Gothic"/>
          <w:sz w:val="24"/>
          <w:szCs w:val="24"/>
        </w:rPr>
        <w:t>Warfin</w:t>
      </w:r>
      <w:proofErr w:type="spellEnd"/>
      <w:r w:rsidRPr="00BA0484">
        <w:rPr>
          <w:rFonts w:ascii="Century Gothic" w:hAnsi="Century Gothic"/>
          <w:sz w:val="24"/>
          <w:szCs w:val="24"/>
        </w:rPr>
        <w:t>, itp.), uczuleniach, wcześniejszych badaniach inwazyjnych układu krążenia, niewydolności nerek, cukrzycy, obecności tętniaka aorty.</w:t>
      </w:r>
    </w:p>
    <w:p w:rsidR="0040357C" w:rsidRDefault="0040357C" w:rsidP="00BA0484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40357C" w:rsidRDefault="0040357C" w:rsidP="005A7631">
      <w:pPr>
        <w:tabs>
          <w:tab w:val="left" w:pos="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0357C">
        <w:rPr>
          <w:rFonts w:ascii="Century Gothic" w:hAnsi="Century Gothic"/>
          <w:b/>
          <w:sz w:val="24"/>
          <w:szCs w:val="24"/>
        </w:rPr>
        <w:t>Alternatywne metody badania</w:t>
      </w:r>
    </w:p>
    <w:p w:rsidR="0040357C" w:rsidRDefault="0040357C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0357C">
        <w:rPr>
          <w:rFonts w:ascii="Century Gothic" w:hAnsi="Century Gothic"/>
          <w:sz w:val="24"/>
          <w:szCs w:val="24"/>
        </w:rPr>
        <w:t xml:space="preserve">Tętnice wieńcowe mogą być także obrazowane za pomocą </w:t>
      </w:r>
      <w:proofErr w:type="spellStart"/>
      <w:r w:rsidRPr="0040357C">
        <w:rPr>
          <w:rFonts w:ascii="Century Gothic" w:hAnsi="Century Gothic"/>
          <w:sz w:val="24"/>
          <w:szCs w:val="24"/>
        </w:rPr>
        <w:t>nieinwazynej</w:t>
      </w:r>
      <w:proofErr w:type="spellEnd"/>
      <w:r w:rsidRPr="0040357C">
        <w:rPr>
          <w:rFonts w:ascii="Century Gothic" w:hAnsi="Century Gothic"/>
          <w:sz w:val="24"/>
          <w:szCs w:val="24"/>
        </w:rPr>
        <w:t xml:space="preserve"> wielorzędowej tomografii komputerowej (KT, CT, MSCT). Dostępne obecnie systemy obrazowania tomograficznego nie zawsze pokazują szczegółów naczyń wieńcowych z wystarczającą dokładnością, by na ich podstawie podjąć decyzję o dalszym leczeniu.</w:t>
      </w:r>
    </w:p>
    <w:p w:rsidR="00147380" w:rsidRPr="0040357C" w:rsidRDefault="00147380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40357C" w:rsidRDefault="00682C26" w:rsidP="005A763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Koro</w:t>
      </w:r>
      <w:r w:rsidR="00CC2EE6">
        <w:rPr>
          <w:rFonts w:ascii="Century Gothic" w:hAnsi="Century Gothic"/>
          <w:b/>
          <w:sz w:val="24"/>
          <w:szCs w:val="24"/>
        </w:rPr>
        <w:t>narografia jest stosunkowo bezpiecznym badaniem inwazyjnym, ale sporadycznie mogą wystąpić powikłania.</w:t>
      </w:r>
    </w:p>
    <w:p w:rsidR="00F6500D" w:rsidRDefault="00F6500D" w:rsidP="005A763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6500D">
        <w:rPr>
          <w:rFonts w:ascii="Century Gothic" w:hAnsi="Century Gothic"/>
          <w:b/>
          <w:sz w:val="24"/>
          <w:szCs w:val="24"/>
        </w:rPr>
        <w:t>Do głównych powikłań należą:</w:t>
      </w:r>
    </w:p>
    <w:p w:rsidR="00CC2EE6" w:rsidRPr="00EA3024" w:rsidRDefault="00CC2EE6" w:rsidP="005A7631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  <w:u w:val="single"/>
        </w:rPr>
      </w:pPr>
      <w:r w:rsidRPr="00EA3024">
        <w:rPr>
          <w:rFonts w:ascii="Century Gothic" w:hAnsi="Century Gothic"/>
          <w:sz w:val="24"/>
          <w:szCs w:val="24"/>
          <w:u w:val="single"/>
        </w:rPr>
        <w:t>Możliwe powikłania ogólne- nie przekraczające 0,5 %</w:t>
      </w:r>
      <w:r w:rsidR="00EA3024" w:rsidRPr="00EA3024">
        <w:rPr>
          <w:rFonts w:ascii="Century Gothic" w:hAnsi="Century Gothic"/>
          <w:sz w:val="24"/>
          <w:szCs w:val="24"/>
          <w:u w:val="single"/>
        </w:rPr>
        <w:t>:</w:t>
      </w:r>
    </w:p>
    <w:p w:rsidR="00EA3024" w:rsidRPr="00CC2EE6" w:rsidRDefault="00EA3024" w:rsidP="005A7631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Zawał serca z powodu uszkodzenia tętnic wieńcowych, czasami aorty lub zatoru naczynia skrzeplinami, fragmentem blaszki miażdżycowej.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Uszkodzenie naczynia, przedziurawienie jam serca, tamponada - krew w worku osierdziowym (wokół serca) uciskająca na serce.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Przejściowe niedokrwienie lub udar mózgu z zaburzeniami mowy lub ruchu.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Groźne zaburzenia rytmu serca i przewodnictwa.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Ostra niewydolność krążenia (wstrząs, obrzęk płuc).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Nasilenie niewydolności nerek.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Reakcje uczuleniowe związane z kontrastem i podawanymi lekami.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Reakcje odruchowe na nakłucie i odczuwany ból ze spadkiem ciśnienia i zwolnieniem czynności serca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Zgon (ryzyko nie przekraczające 0,1-0,2%).</w:t>
      </w:r>
    </w:p>
    <w:p w:rsidR="00CC2EE6" w:rsidRPr="009C186A" w:rsidRDefault="00CC2EE6" w:rsidP="005A7631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9C186A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F6500D" w:rsidRPr="00F6500D" w:rsidRDefault="00F6500D" w:rsidP="005A7631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881C5D" w:rsidRPr="00EA3024" w:rsidRDefault="00EA3024" w:rsidP="005A7631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  <w:u w:val="single"/>
        </w:rPr>
      </w:pPr>
      <w:r w:rsidRPr="00EA3024">
        <w:rPr>
          <w:rFonts w:ascii="Century Gothic" w:hAnsi="Century Gothic"/>
          <w:sz w:val="24"/>
          <w:szCs w:val="24"/>
          <w:u w:val="single"/>
        </w:rPr>
        <w:t>Możliwe powikłania miejscowe- nie przekraczające 1-6%:</w:t>
      </w:r>
    </w:p>
    <w:p w:rsidR="00EA3024" w:rsidRDefault="00EA3024" w:rsidP="005A7631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 xml:space="preserve">Krwawienie z miejsca wkłucia lub krwiak czasem pozostawiający po sobie </w:t>
      </w:r>
      <w:r w:rsidRPr="00EA3024">
        <w:rPr>
          <w:rFonts w:ascii="Century Gothic" w:hAnsi="Century Gothic"/>
          <w:sz w:val="24"/>
          <w:szCs w:val="24"/>
        </w:rPr>
        <w:lastRenderedPageBreak/>
        <w:t>przebarwienie skóry lub bliznowate zgrubienie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W przypadku dostępu promieniowego istnieje możliwość zamknięcia tętnicy po zabiegu zdarza sie również bolesny kurcz naczynia.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Tętniak rzekomy (zbiornik płynnej krwi pozostający w połączeniu z tętnicą)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Przetoka tętniczo-żylna czyli nieprawidłowe połączenie miedzy tętnicą a żyłą.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Krwawienie zaotrzewnowe, w przypadku dostępu przez tętnicę udowa.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Zator naczynia z zawałem/uszkodzeniem narządu np. ręki, śledziony, nerki</w:t>
      </w:r>
    </w:p>
    <w:p w:rsidR="00EA3024" w:rsidRPr="00EA3024" w:rsidRDefault="00EA3024" w:rsidP="005A7631">
      <w:pPr>
        <w:pStyle w:val="Akapitzlist"/>
        <w:numPr>
          <w:ilvl w:val="0"/>
          <w:numId w:val="23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EA3024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EA3024" w:rsidRDefault="00EA3024" w:rsidP="00EA3024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A3024" w:rsidRPr="00EA3024" w:rsidRDefault="00EA3024" w:rsidP="00EA3024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5E2350" w:rsidRPr="005E2350" w:rsidRDefault="005E2350" w:rsidP="005A763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2350">
        <w:rPr>
          <w:rFonts w:ascii="Century Gothic" w:hAnsi="Century Gothic"/>
          <w:b/>
          <w:sz w:val="24"/>
          <w:szCs w:val="24"/>
        </w:rPr>
        <w:t>Rokowanie:</w:t>
      </w:r>
    </w:p>
    <w:p w:rsidR="005E2350" w:rsidRPr="005E2350" w:rsidRDefault="005E2350" w:rsidP="005A76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D742B1" w:rsidRDefault="005E2350" w:rsidP="006737B0">
      <w:pPr>
        <w:ind w:left="-709" w:firstLine="1417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□ duże</w:t>
      </w:r>
      <w:r w:rsidRPr="005E235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5A7631">
        <w:rPr>
          <w:rFonts w:ascii="Century Gothic" w:hAnsi="Century Gothic"/>
          <w:sz w:val="24"/>
          <w:szCs w:val="24"/>
        </w:rPr>
        <w:t xml:space="preserve">  </w:t>
      </w:r>
      <w:r w:rsidRPr="005E2350">
        <w:rPr>
          <w:rFonts w:ascii="Century Gothic" w:hAnsi="Century Gothic"/>
          <w:sz w:val="24"/>
          <w:szCs w:val="24"/>
        </w:rPr>
        <w:t>□ średnie</w:t>
      </w:r>
      <w:r w:rsidRPr="005E2350">
        <w:rPr>
          <w:rFonts w:ascii="Century Gothic" w:hAnsi="Century Gothic"/>
          <w:sz w:val="24"/>
          <w:szCs w:val="24"/>
        </w:rPr>
        <w:tab/>
      </w:r>
      <w:r w:rsidR="005A7631">
        <w:rPr>
          <w:rFonts w:ascii="Century Gothic" w:hAnsi="Century Gothic"/>
          <w:sz w:val="24"/>
          <w:szCs w:val="24"/>
        </w:rPr>
        <w:t xml:space="preserve">       </w:t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ograniczone</w:t>
      </w:r>
    </w:p>
    <w:p w:rsidR="006737B0" w:rsidRPr="007E4C76" w:rsidRDefault="006737B0" w:rsidP="006737B0">
      <w:pPr>
        <w:ind w:left="-709" w:firstLine="1417"/>
        <w:jc w:val="both"/>
        <w:rPr>
          <w:rFonts w:ascii="Century Gothic" w:hAnsi="Century Gothic"/>
          <w:sz w:val="24"/>
          <w:szCs w:val="24"/>
        </w:rPr>
      </w:pPr>
    </w:p>
    <w:p w:rsidR="007E4C76" w:rsidRPr="007030E8" w:rsidRDefault="007E4C76" w:rsidP="005A7631">
      <w:pPr>
        <w:pStyle w:val="Akapitzlist"/>
        <w:numPr>
          <w:ilvl w:val="0"/>
          <w:numId w:val="9"/>
        </w:numPr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7030E8">
        <w:rPr>
          <w:rFonts w:ascii="Century Gothic" w:hAnsi="Century Gothic"/>
          <w:b/>
          <w:sz w:val="24"/>
          <w:szCs w:val="24"/>
        </w:rPr>
        <w:t>Oświadczenie:</w:t>
      </w:r>
    </w:p>
    <w:p w:rsidR="007030E8" w:rsidRPr="007030E8" w:rsidRDefault="007030E8" w:rsidP="005A7631">
      <w:pPr>
        <w:ind w:left="-709"/>
        <w:rPr>
          <w:rFonts w:ascii="Century Gothic" w:hAnsi="Century Gothic"/>
          <w:sz w:val="24"/>
          <w:szCs w:val="24"/>
        </w:rPr>
      </w:pP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  <w:r w:rsidR="00022A05" w:rsidRPr="00022A05">
        <w:rPr>
          <w:rFonts w:ascii="Century Gothic" w:hAnsi="Century Gothic"/>
          <w:sz w:val="24"/>
          <w:szCs w:val="24"/>
        </w:rPr>
        <w:t>;</w:t>
      </w: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7030E8" w:rsidRPr="00022A05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7030E8" w:rsidRDefault="007030E8" w:rsidP="005A7631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C93F0C" w:rsidRDefault="00C93F0C" w:rsidP="00C93F0C">
      <w:pPr>
        <w:jc w:val="both"/>
        <w:rPr>
          <w:rFonts w:ascii="Century Gothic" w:hAnsi="Century Gothic"/>
          <w:sz w:val="24"/>
          <w:szCs w:val="24"/>
        </w:rPr>
      </w:pPr>
    </w:p>
    <w:p w:rsidR="00C93F0C" w:rsidRPr="00C93F0C" w:rsidRDefault="00C93F0C" w:rsidP="00C93F0C">
      <w:pPr>
        <w:jc w:val="both"/>
        <w:rPr>
          <w:rFonts w:ascii="Century Gothic" w:hAnsi="Century Gothic"/>
          <w:sz w:val="24"/>
          <w:szCs w:val="24"/>
        </w:rPr>
      </w:pPr>
    </w:p>
    <w:p w:rsidR="00C93F0C" w:rsidRPr="00D742B1" w:rsidRDefault="00C93F0C" w:rsidP="00C93F0C">
      <w:pPr>
        <w:ind w:left="-851"/>
        <w:jc w:val="both"/>
        <w:rPr>
          <w:rFonts w:ascii="Century Gothic" w:hAnsi="Century Gothic"/>
          <w:sz w:val="24"/>
          <w:szCs w:val="24"/>
        </w:rPr>
      </w:pPr>
      <w:r w:rsidRPr="00D742B1">
        <w:rPr>
          <w:rFonts w:ascii="Century Gothic" w:hAnsi="Century Gothic"/>
          <w:sz w:val="24"/>
          <w:szCs w:val="24"/>
        </w:rPr>
        <w:t>*niepotrzebne skreślić;</w:t>
      </w:r>
    </w:p>
    <w:p w:rsidR="00BA31BE" w:rsidRPr="00022A05" w:rsidRDefault="00BA31BE" w:rsidP="00BA31BE">
      <w:pPr>
        <w:pStyle w:val="Akapitzlist"/>
        <w:ind w:left="1080" w:firstLine="0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D742B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</w:t>
      </w:r>
      <w:r>
        <w:rPr>
          <w:rFonts w:ascii="Century Gothic" w:hAnsi="Century Gothic"/>
          <w:sz w:val="24"/>
          <w:szCs w:val="24"/>
        </w:rPr>
        <w:t xml:space="preserve"> </w:t>
      </w:r>
      <w:r w:rsidRPr="007030E8">
        <w:rPr>
          <w:rFonts w:ascii="Century Gothic" w:hAnsi="Century Gothic"/>
          <w:sz w:val="24"/>
          <w:szCs w:val="24"/>
        </w:rPr>
        <w:t>i medycznych (wyniki badań dotychczasowych jak i następnych) do:</w:t>
      </w:r>
    </w:p>
    <w:p w:rsidR="007030E8" w:rsidRDefault="00C93F0C" w:rsidP="00D742B1">
      <w:pPr>
        <w:pStyle w:val="Akapitzlist"/>
        <w:numPr>
          <w:ilvl w:val="0"/>
          <w:numId w:val="10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7030E8" w:rsidRPr="007030E8">
        <w:rPr>
          <w:rFonts w:ascii="Century Gothic" w:hAnsi="Century Gothic"/>
          <w:sz w:val="24"/>
          <w:szCs w:val="24"/>
        </w:rPr>
        <w:t>medycznych baz danych pacjentów: szpitalnej, ogólnopolskiej i europejskiej.</w:t>
      </w:r>
    </w:p>
    <w:p w:rsidR="006737B0" w:rsidRPr="007030E8" w:rsidRDefault="006737B0" w:rsidP="006737B0">
      <w:pPr>
        <w:pStyle w:val="Akapitzlist"/>
        <w:ind w:left="-284" w:firstLine="0"/>
        <w:jc w:val="both"/>
        <w:rPr>
          <w:rFonts w:ascii="Century Gothic" w:hAnsi="Century Gothic"/>
          <w:sz w:val="24"/>
          <w:szCs w:val="24"/>
        </w:rPr>
      </w:pPr>
    </w:p>
    <w:p w:rsidR="007030E8" w:rsidRDefault="00C93F0C" w:rsidP="00D742B1">
      <w:pPr>
        <w:pStyle w:val="Akapitzlist"/>
        <w:numPr>
          <w:ilvl w:val="0"/>
          <w:numId w:val="10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7030E8" w:rsidRPr="007030E8">
        <w:rPr>
          <w:rFonts w:ascii="Century Gothic" w:hAnsi="Century Gothic"/>
          <w:sz w:val="24"/>
          <w:szCs w:val="24"/>
        </w:rPr>
        <w:t>badań oceniających: zastosowanych u mnie metod leczenia, jak również na publikowanie wyników tych badań (publikacje nie będą zawierały danych personalnych pozwalających na ustalenie mojej tożsamości).</w:t>
      </w:r>
    </w:p>
    <w:p w:rsidR="00C93F0C" w:rsidRPr="00C93F0C" w:rsidRDefault="00C93F0C" w:rsidP="00C93F0C">
      <w:pPr>
        <w:pStyle w:val="Akapitzlist"/>
        <w:rPr>
          <w:rFonts w:ascii="Century Gothic" w:hAnsi="Century Gothic"/>
          <w:sz w:val="24"/>
          <w:szCs w:val="24"/>
        </w:rPr>
      </w:pPr>
    </w:p>
    <w:p w:rsidR="00C93F0C" w:rsidRPr="00C93F0C" w:rsidRDefault="00C93F0C" w:rsidP="00C93F0C">
      <w:pPr>
        <w:jc w:val="both"/>
        <w:rPr>
          <w:rFonts w:ascii="Century Gothic" w:hAnsi="Century Gothic"/>
          <w:sz w:val="24"/>
          <w:szCs w:val="24"/>
        </w:rPr>
      </w:pPr>
    </w:p>
    <w:p w:rsidR="007E4C76" w:rsidRDefault="007E4C76" w:rsidP="00D742B1">
      <w:pPr>
        <w:pStyle w:val="Akapitzlist"/>
        <w:numPr>
          <w:ilvl w:val="0"/>
          <w:numId w:val="2"/>
        </w:numPr>
        <w:ind w:left="0" w:hanging="426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wyrażam zgodę</w:t>
      </w:r>
    </w:p>
    <w:p w:rsidR="00C93F0C" w:rsidRPr="007E4C76" w:rsidRDefault="00C93F0C" w:rsidP="00C93F0C">
      <w:pPr>
        <w:pStyle w:val="Akapitzlist"/>
        <w:ind w:left="0" w:firstLine="0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D742B1">
      <w:pPr>
        <w:pStyle w:val="Akapitzlist"/>
        <w:numPr>
          <w:ilvl w:val="0"/>
          <w:numId w:val="2"/>
        </w:numPr>
        <w:ind w:left="0" w:hanging="426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odmawiam wyrażenia zgody</w:t>
      </w:r>
    </w:p>
    <w:p w:rsidR="007E4C76" w:rsidRPr="007E4C76" w:rsidRDefault="007E4C76" w:rsidP="007E4C76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7E4C76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7E4C76">
      <w:pPr>
        <w:jc w:val="right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.........................................................................</w:t>
      </w:r>
    </w:p>
    <w:p w:rsidR="007E4C76" w:rsidRDefault="007E4C76" w:rsidP="007030E8">
      <w:pPr>
        <w:jc w:val="right"/>
        <w:rPr>
          <w:rFonts w:ascii="Century Gothic" w:hAnsi="Century Gothic"/>
          <w:sz w:val="18"/>
          <w:szCs w:val="18"/>
        </w:rPr>
      </w:pPr>
      <w:r w:rsidRPr="007E4C76">
        <w:rPr>
          <w:rFonts w:ascii="Century Gothic" w:hAnsi="Century Gothic"/>
          <w:sz w:val="18"/>
          <w:szCs w:val="18"/>
        </w:rPr>
        <w:t>/czytelny podpis (imię i nazwisko) pacjenta/opiekuna prawnego/</w:t>
      </w:r>
    </w:p>
    <w:p w:rsidR="0074696A" w:rsidRDefault="0074696A" w:rsidP="007030E8">
      <w:pPr>
        <w:jc w:val="right"/>
        <w:rPr>
          <w:rFonts w:ascii="Century Gothic" w:hAnsi="Century Gothic"/>
          <w:sz w:val="18"/>
          <w:szCs w:val="18"/>
        </w:rPr>
      </w:pPr>
    </w:p>
    <w:p w:rsidR="0074696A" w:rsidRPr="007030E8" w:rsidRDefault="0074696A" w:rsidP="007030E8">
      <w:pPr>
        <w:jc w:val="right"/>
        <w:rPr>
          <w:rFonts w:ascii="Century Gothic" w:hAnsi="Century Gothic"/>
          <w:sz w:val="18"/>
          <w:szCs w:val="18"/>
        </w:rPr>
      </w:pPr>
    </w:p>
    <w:p w:rsidR="007E4C76" w:rsidRPr="007E4C76" w:rsidRDefault="007E4C76" w:rsidP="00022A05">
      <w:pPr>
        <w:spacing w:before="1"/>
        <w:ind w:left="141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w w:val="80"/>
          <w:sz w:val="24"/>
          <w:szCs w:val="24"/>
        </w:rPr>
        <w:t>Lekarz</w:t>
      </w:r>
      <w:r w:rsidRPr="007E4C76">
        <w:rPr>
          <w:rFonts w:ascii="Century Gothic" w:hAnsi="Century Gothic"/>
          <w:spacing w:val="1"/>
          <w:sz w:val="24"/>
          <w:szCs w:val="24"/>
        </w:rPr>
        <w:t xml:space="preserve"> </w:t>
      </w:r>
      <w:r w:rsidRPr="007E4C76">
        <w:rPr>
          <w:rFonts w:ascii="Century Gothic" w:hAnsi="Century Gothic"/>
          <w:w w:val="80"/>
          <w:sz w:val="24"/>
          <w:szCs w:val="24"/>
        </w:rPr>
        <w:t>przyjmujący</w:t>
      </w:r>
      <w:r w:rsidRPr="007E4C76">
        <w:rPr>
          <w:rFonts w:ascii="Century Gothic" w:hAnsi="Century Gothic"/>
          <w:spacing w:val="2"/>
          <w:sz w:val="24"/>
          <w:szCs w:val="24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4"/>
          <w:szCs w:val="24"/>
        </w:rPr>
        <w:t>oświadczenie:</w:t>
      </w:r>
    </w:p>
    <w:p w:rsidR="007E4C76" w:rsidRDefault="007E4C76" w:rsidP="007E4C76">
      <w:pPr>
        <w:pStyle w:val="Tekstpodstawowy"/>
        <w:spacing w:before="241"/>
        <w:ind w:left="0"/>
        <w:rPr>
          <w:sz w:val="28"/>
        </w:rPr>
      </w:pPr>
    </w:p>
    <w:p w:rsidR="007E4C76" w:rsidRPr="007E4C76" w:rsidRDefault="007E4C76" w:rsidP="007E4C76">
      <w:pPr>
        <w:ind w:left="141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4"/>
          <w:szCs w:val="24"/>
        </w:rPr>
        <w:t>Data:</w:t>
      </w:r>
      <w:r w:rsidRPr="007E4C76">
        <w:rPr>
          <w:rFonts w:ascii="Century Gothic" w:hAnsi="Century Gothic"/>
          <w:spacing w:val="79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....................................................</w:t>
      </w:r>
      <w:r w:rsidRPr="007E4C76">
        <w:rPr>
          <w:rFonts w:ascii="Century Gothic" w:hAnsi="Century Gothic"/>
          <w:spacing w:val="75"/>
          <w:sz w:val="20"/>
        </w:rPr>
        <w:t xml:space="preserve">  </w:t>
      </w:r>
      <w:r w:rsidRPr="007E4C76">
        <w:rPr>
          <w:rFonts w:ascii="Century Gothic" w:hAnsi="Century Gothic"/>
          <w:spacing w:val="-2"/>
          <w:w w:val="80"/>
          <w:sz w:val="20"/>
        </w:rPr>
        <w:t>...........................................................................................................................................</w:t>
      </w:r>
    </w:p>
    <w:p w:rsidR="005E2350" w:rsidRPr="00486E27" w:rsidRDefault="007E4C76" w:rsidP="00486E27">
      <w:pPr>
        <w:spacing w:before="4"/>
        <w:ind w:left="5131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0"/>
        </w:rPr>
        <w:t>/pieczęć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i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podpis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0"/>
        </w:rPr>
        <w:t>lekarza/</w:t>
      </w:r>
    </w:p>
    <w:sectPr w:rsidR="005E2350" w:rsidRPr="00486E2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13A" w:rsidRDefault="0032713A" w:rsidP="00E637FA">
      <w:pPr>
        <w:spacing w:after="0" w:line="240" w:lineRule="auto"/>
      </w:pPr>
      <w:r>
        <w:separator/>
      </w:r>
    </w:p>
  </w:endnote>
  <w:endnote w:type="continuationSeparator" w:id="0">
    <w:p w:rsidR="0032713A" w:rsidRDefault="0032713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13A" w:rsidRDefault="0032713A" w:rsidP="00E637FA">
      <w:pPr>
        <w:spacing w:after="0" w:line="240" w:lineRule="auto"/>
      </w:pPr>
      <w:r>
        <w:separator/>
      </w:r>
    </w:p>
  </w:footnote>
  <w:footnote w:type="continuationSeparator" w:id="0">
    <w:p w:rsidR="0032713A" w:rsidRDefault="0032713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B2916"/>
    <w:multiLevelType w:val="hybridMultilevel"/>
    <w:tmpl w:val="7764B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4">
    <w:nsid w:val="1C744D8F"/>
    <w:multiLevelType w:val="hybridMultilevel"/>
    <w:tmpl w:val="BC268E60"/>
    <w:lvl w:ilvl="0" w:tplc="27C4DD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183FA2"/>
    <w:multiLevelType w:val="hybridMultilevel"/>
    <w:tmpl w:val="EEB8D30A"/>
    <w:lvl w:ilvl="0" w:tplc="83F28266">
      <w:numFmt w:val="bullet"/>
      <w:lvlText w:val="⎯"/>
      <w:lvlJc w:val="left"/>
      <w:pPr>
        <w:ind w:left="2938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98" w:hanging="360"/>
      </w:pPr>
      <w:rPr>
        <w:rFonts w:ascii="Wingdings" w:hAnsi="Wingdings" w:hint="default"/>
      </w:rPr>
    </w:lvl>
  </w:abstractNum>
  <w:abstractNum w:abstractNumId="6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943837"/>
    <w:multiLevelType w:val="hybridMultilevel"/>
    <w:tmpl w:val="ACB047E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1466A7"/>
    <w:multiLevelType w:val="hybridMultilevel"/>
    <w:tmpl w:val="1BCCB32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AC0040"/>
    <w:multiLevelType w:val="hybridMultilevel"/>
    <w:tmpl w:val="A0D47CC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4C1C69"/>
    <w:multiLevelType w:val="hybridMultilevel"/>
    <w:tmpl w:val="7472AE7A"/>
    <w:lvl w:ilvl="0" w:tplc="83F28266">
      <w:numFmt w:val="bullet"/>
      <w:lvlText w:val="⎯"/>
      <w:lvlJc w:val="left"/>
      <w:pPr>
        <w:ind w:left="2134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4" w:hanging="360"/>
      </w:pPr>
      <w:rPr>
        <w:rFonts w:ascii="Wingdings" w:hAnsi="Wingdings" w:hint="default"/>
      </w:rPr>
    </w:lvl>
  </w:abstractNum>
  <w:abstractNum w:abstractNumId="14">
    <w:nsid w:val="568D2EAE"/>
    <w:multiLevelType w:val="hybridMultilevel"/>
    <w:tmpl w:val="25C457C8"/>
    <w:lvl w:ilvl="0" w:tplc="220C80A2">
      <w:numFmt w:val="bullet"/>
      <w:lvlText w:val="-"/>
      <w:lvlJc w:val="left"/>
      <w:pPr>
        <w:ind w:left="56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91631C4">
      <w:numFmt w:val="bullet"/>
      <w:lvlText w:val="•"/>
      <w:lvlJc w:val="left"/>
      <w:pPr>
        <w:ind w:left="1467" w:hanging="360"/>
      </w:pPr>
      <w:rPr>
        <w:rFonts w:hint="default"/>
        <w:lang w:val="pl-PL" w:eastAsia="en-US" w:bidi="ar-SA"/>
      </w:rPr>
    </w:lvl>
    <w:lvl w:ilvl="2" w:tplc="8B5E4132">
      <w:numFmt w:val="bullet"/>
      <w:lvlText w:val="•"/>
      <w:lvlJc w:val="left"/>
      <w:pPr>
        <w:ind w:left="2375" w:hanging="360"/>
      </w:pPr>
      <w:rPr>
        <w:rFonts w:hint="default"/>
        <w:lang w:val="pl-PL" w:eastAsia="en-US" w:bidi="ar-SA"/>
      </w:rPr>
    </w:lvl>
    <w:lvl w:ilvl="3" w:tplc="77DEFA44">
      <w:numFmt w:val="bullet"/>
      <w:lvlText w:val="•"/>
      <w:lvlJc w:val="left"/>
      <w:pPr>
        <w:ind w:left="3283" w:hanging="360"/>
      </w:pPr>
      <w:rPr>
        <w:rFonts w:hint="default"/>
        <w:lang w:val="pl-PL" w:eastAsia="en-US" w:bidi="ar-SA"/>
      </w:rPr>
    </w:lvl>
    <w:lvl w:ilvl="4" w:tplc="89A293B2">
      <w:numFmt w:val="bullet"/>
      <w:lvlText w:val="•"/>
      <w:lvlJc w:val="left"/>
      <w:pPr>
        <w:ind w:left="4191" w:hanging="360"/>
      </w:pPr>
      <w:rPr>
        <w:rFonts w:hint="default"/>
        <w:lang w:val="pl-PL" w:eastAsia="en-US" w:bidi="ar-SA"/>
      </w:rPr>
    </w:lvl>
    <w:lvl w:ilvl="5" w:tplc="BCF20D94">
      <w:numFmt w:val="bullet"/>
      <w:lvlText w:val="•"/>
      <w:lvlJc w:val="left"/>
      <w:pPr>
        <w:ind w:left="5099" w:hanging="360"/>
      </w:pPr>
      <w:rPr>
        <w:rFonts w:hint="default"/>
        <w:lang w:val="pl-PL" w:eastAsia="en-US" w:bidi="ar-SA"/>
      </w:rPr>
    </w:lvl>
    <w:lvl w:ilvl="6" w:tplc="32461828">
      <w:numFmt w:val="bullet"/>
      <w:lvlText w:val="•"/>
      <w:lvlJc w:val="left"/>
      <w:pPr>
        <w:ind w:left="6007" w:hanging="360"/>
      </w:pPr>
      <w:rPr>
        <w:rFonts w:hint="default"/>
        <w:lang w:val="pl-PL" w:eastAsia="en-US" w:bidi="ar-SA"/>
      </w:rPr>
    </w:lvl>
    <w:lvl w:ilvl="7" w:tplc="0E88D26E">
      <w:numFmt w:val="bullet"/>
      <w:lvlText w:val="•"/>
      <w:lvlJc w:val="left"/>
      <w:pPr>
        <w:ind w:left="6915" w:hanging="360"/>
      </w:pPr>
      <w:rPr>
        <w:rFonts w:hint="default"/>
        <w:lang w:val="pl-PL" w:eastAsia="en-US" w:bidi="ar-SA"/>
      </w:rPr>
    </w:lvl>
    <w:lvl w:ilvl="8" w:tplc="8730A6A6">
      <w:numFmt w:val="bullet"/>
      <w:lvlText w:val="•"/>
      <w:lvlJc w:val="left"/>
      <w:pPr>
        <w:ind w:left="7823" w:hanging="360"/>
      </w:pPr>
      <w:rPr>
        <w:rFonts w:hint="default"/>
        <w:lang w:val="pl-PL" w:eastAsia="en-US" w:bidi="ar-SA"/>
      </w:rPr>
    </w:lvl>
  </w:abstractNum>
  <w:abstractNum w:abstractNumId="15">
    <w:nsid w:val="5E8D05DA"/>
    <w:multiLevelType w:val="hybridMultilevel"/>
    <w:tmpl w:val="3B7C5D12"/>
    <w:lvl w:ilvl="0" w:tplc="04150017">
      <w:start w:val="1"/>
      <w:numFmt w:val="lowerLetter"/>
      <w:lvlText w:val="%1)"/>
      <w:lvlJc w:val="left"/>
      <w:pPr>
        <w:ind w:left="2218" w:hanging="360"/>
      </w:pPr>
    </w:lvl>
    <w:lvl w:ilvl="1" w:tplc="04150019" w:tentative="1">
      <w:start w:val="1"/>
      <w:numFmt w:val="lowerLetter"/>
      <w:lvlText w:val="%2."/>
      <w:lvlJc w:val="left"/>
      <w:pPr>
        <w:ind w:left="2938" w:hanging="360"/>
      </w:pPr>
    </w:lvl>
    <w:lvl w:ilvl="2" w:tplc="0415001B" w:tentative="1">
      <w:start w:val="1"/>
      <w:numFmt w:val="lowerRoman"/>
      <w:lvlText w:val="%3."/>
      <w:lvlJc w:val="right"/>
      <w:pPr>
        <w:ind w:left="3658" w:hanging="180"/>
      </w:pPr>
    </w:lvl>
    <w:lvl w:ilvl="3" w:tplc="0415000F" w:tentative="1">
      <w:start w:val="1"/>
      <w:numFmt w:val="decimal"/>
      <w:lvlText w:val="%4."/>
      <w:lvlJc w:val="left"/>
      <w:pPr>
        <w:ind w:left="4378" w:hanging="360"/>
      </w:pPr>
    </w:lvl>
    <w:lvl w:ilvl="4" w:tplc="04150019" w:tentative="1">
      <w:start w:val="1"/>
      <w:numFmt w:val="lowerLetter"/>
      <w:lvlText w:val="%5."/>
      <w:lvlJc w:val="left"/>
      <w:pPr>
        <w:ind w:left="5098" w:hanging="360"/>
      </w:pPr>
    </w:lvl>
    <w:lvl w:ilvl="5" w:tplc="0415001B" w:tentative="1">
      <w:start w:val="1"/>
      <w:numFmt w:val="lowerRoman"/>
      <w:lvlText w:val="%6."/>
      <w:lvlJc w:val="right"/>
      <w:pPr>
        <w:ind w:left="5818" w:hanging="180"/>
      </w:pPr>
    </w:lvl>
    <w:lvl w:ilvl="6" w:tplc="0415000F" w:tentative="1">
      <w:start w:val="1"/>
      <w:numFmt w:val="decimal"/>
      <w:lvlText w:val="%7."/>
      <w:lvlJc w:val="left"/>
      <w:pPr>
        <w:ind w:left="6538" w:hanging="360"/>
      </w:pPr>
    </w:lvl>
    <w:lvl w:ilvl="7" w:tplc="04150019" w:tentative="1">
      <w:start w:val="1"/>
      <w:numFmt w:val="lowerLetter"/>
      <w:lvlText w:val="%8."/>
      <w:lvlJc w:val="left"/>
      <w:pPr>
        <w:ind w:left="7258" w:hanging="360"/>
      </w:pPr>
    </w:lvl>
    <w:lvl w:ilvl="8" w:tplc="0415001B" w:tentative="1">
      <w:start w:val="1"/>
      <w:numFmt w:val="lowerRoman"/>
      <w:lvlText w:val="%9."/>
      <w:lvlJc w:val="right"/>
      <w:pPr>
        <w:ind w:left="7978" w:hanging="180"/>
      </w:pPr>
    </w:lvl>
  </w:abstractNum>
  <w:abstractNum w:abstractNumId="16">
    <w:nsid w:val="62A9364A"/>
    <w:multiLevelType w:val="hybridMultilevel"/>
    <w:tmpl w:val="B12C57E4"/>
    <w:lvl w:ilvl="0" w:tplc="83F28266">
      <w:numFmt w:val="bullet"/>
      <w:lvlText w:val="⎯"/>
      <w:lvlJc w:val="left"/>
      <w:pPr>
        <w:ind w:left="2134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4" w:hanging="360"/>
      </w:pPr>
      <w:rPr>
        <w:rFonts w:ascii="Wingdings" w:hAnsi="Wingdings" w:hint="default"/>
      </w:rPr>
    </w:lvl>
  </w:abstractNum>
  <w:abstractNum w:abstractNumId="17">
    <w:nsid w:val="685F57C4"/>
    <w:multiLevelType w:val="hybridMultilevel"/>
    <w:tmpl w:val="82488854"/>
    <w:lvl w:ilvl="0" w:tplc="7B84F1D8">
      <w:start w:val="1"/>
      <w:numFmt w:val="decimal"/>
      <w:lvlText w:val="%1."/>
      <w:lvlJc w:val="left"/>
      <w:pPr>
        <w:ind w:left="357" w:hanging="216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72"/>
        <w:sz w:val="24"/>
        <w:szCs w:val="24"/>
        <w:u w:val="single" w:color="000000"/>
        <w:lang w:val="pl-PL" w:eastAsia="en-US" w:bidi="ar-SA"/>
      </w:rPr>
    </w:lvl>
    <w:lvl w:ilvl="1" w:tplc="70CE0D2E">
      <w:numFmt w:val="bullet"/>
      <w:lvlText w:val="-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D916B456">
      <w:numFmt w:val="bullet"/>
      <w:lvlText w:val="•"/>
      <w:lvlJc w:val="left"/>
      <w:pPr>
        <w:ind w:left="1866" w:hanging="361"/>
      </w:pPr>
      <w:rPr>
        <w:rFonts w:hint="default"/>
        <w:lang w:val="pl-PL" w:eastAsia="en-US" w:bidi="ar-SA"/>
      </w:rPr>
    </w:lvl>
    <w:lvl w:ilvl="3" w:tplc="D1380B90">
      <w:numFmt w:val="bullet"/>
      <w:lvlText w:val="•"/>
      <w:lvlJc w:val="left"/>
      <w:pPr>
        <w:ind w:left="2873" w:hanging="361"/>
      </w:pPr>
      <w:rPr>
        <w:rFonts w:hint="default"/>
        <w:lang w:val="pl-PL" w:eastAsia="en-US" w:bidi="ar-SA"/>
      </w:rPr>
    </w:lvl>
    <w:lvl w:ilvl="4" w:tplc="F7D40D56">
      <w:numFmt w:val="bullet"/>
      <w:lvlText w:val="•"/>
      <w:lvlJc w:val="left"/>
      <w:pPr>
        <w:ind w:left="3880" w:hanging="361"/>
      </w:pPr>
      <w:rPr>
        <w:rFonts w:hint="default"/>
        <w:lang w:val="pl-PL" w:eastAsia="en-US" w:bidi="ar-SA"/>
      </w:rPr>
    </w:lvl>
    <w:lvl w:ilvl="5" w:tplc="F9AA8BD2">
      <w:numFmt w:val="bullet"/>
      <w:lvlText w:val="•"/>
      <w:lvlJc w:val="left"/>
      <w:pPr>
        <w:ind w:left="4886" w:hanging="361"/>
      </w:pPr>
      <w:rPr>
        <w:rFonts w:hint="default"/>
        <w:lang w:val="pl-PL" w:eastAsia="en-US" w:bidi="ar-SA"/>
      </w:rPr>
    </w:lvl>
    <w:lvl w:ilvl="6" w:tplc="6F8852B4">
      <w:numFmt w:val="bullet"/>
      <w:lvlText w:val="•"/>
      <w:lvlJc w:val="left"/>
      <w:pPr>
        <w:ind w:left="5893" w:hanging="361"/>
      </w:pPr>
      <w:rPr>
        <w:rFonts w:hint="default"/>
        <w:lang w:val="pl-PL" w:eastAsia="en-US" w:bidi="ar-SA"/>
      </w:rPr>
    </w:lvl>
    <w:lvl w:ilvl="7" w:tplc="45A2D4F2">
      <w:numFmt w:val="bullet"/>
      <w:lvlText w:val="•"/>
      <w:lvlJc w:val="left"/>
      <w:pPr>
        <w:ind w:left="6900" w:hanging="361"/>
      </w:pPr>
      <w:rPr>
        <w:rFonts w:hint="default"/>
        <w:lang w:val="pl-PL" w:eastAsia="en-US" w:bidi="ar-SA"/>
      </w:rPr>
    </w:lvl>
    <w:lvl w:ilvl="8" w:tplc="DB40E436">
      <w:numFmt w:val="bullet"/>
      <w:lvlText w:val="•"/>
      <w:lvlJc w:val="left"/>
      <w:pPr>
        <w:ind w:left="7906" w:hanging="361"/>
      </w:pPr>
      <w:rPr>
        <w:rFonts w:hint="default"/>
        <w:lang w:val="pl-PL" w:eastAsia="en-US" w:bidi="ar-SA"/>
      </w:rPr>
    </w:lvl>
  </w:abstractNum>
  <w:abstractNum w:abstractNumId="18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F85641"/>
    <w:multiLevelType w:val="hybridMultilevel"/>
    <w:tmpl w:val="95E28224"/>
    <w:lvl w:ilvl="0" w:tplc="485E9E0A">
      <w:start w:val="1"/>
      <w:numFmt w:val="decimal"/>
      <w:lvlText w:val="%1."/>
      <w:lvlJc w:val="left"/>
      <w:pPr>
        <w:ind w:left="1498" w:hanging="360"/>
      </w:pPr>
      <w:rPr>
        <w:rFonts w:ascii="Century Gothic" w:eastAsiaTheme="minorHAnsi" w:hAnsi="Century Gothic" w:cstheme="minorBidi"/>
      </w:rPr>
    </w:lvl>
    <w:lvl w:ilvl="1" w:tplc="04150019" w:tentative="1">
      <w:start w:val="1"/>
      <w:numFmt w:val="lowerLetter"/>
      <w:lvlText w:val="%2."/>
      <w:lvlJc w:val="left"/>
      <w:pPr>
        <w:ind w:left="2218" w:hanging="360"/>
      </w:pPr>
    </w:lvl>
    <w:lvl w:ilvl="2" w:tplc="0415001B" w:tentative="1">
      <w:start w:val="1"/>
      <w:numFmt w:val="lowerRoman"/>
      <w:lvlText w:val="%3."/>
      <w:lvlJc w:val="right"/>
      <w:pPr>
        <w:ind w:left="2938" w:hanging="180"/>
      </w:pPr>
    </w:lvl>
    <w:lvl w:ilvl="3" w:tplc="0415000F" w:tentative="1">
      <w:start w:val="1"/>
      <w:numFmt w:val="decimal"/>
      <w:lvlText w:val="%4."/>
      <w:lvlJc w:val="left"/>
      <w:pPr>
        <w:ind w:left="3658" w:hanging="360"/>
      </w:pPr>
    </w:lvl>
    <w:lvl w:ilvl="4" w:tplc="04150019" w:tentative="1">
      <w:start w:val="1"/>
      <w:numFmt w:val="lowerLetter"/>
      <w:lvlText w:val="%5."/>
      <w:lvlJc w:val="left"/>
      <w:pPr>
        <w:ind w:left="4378" w:hanging="360"/>
      </w:pPr>
    </w:lvl>
    <w:lvl w:ilvl="5" w:tplc="0415001B" w:tentative="1">
      <w:start w:val="1"/>
      <w:numFmt w:val="lowerRoman"/>
      <w:lvlText w:val="%6."/>
      <w:lvlJc w:val="right"/>
      <w:pPr>
        <w:ind w:left="5098" w:hanging="180"/>
      </w:pPr>
    </w:lvl>
    <w:lvl w:ilvl="6" w:tplc="0415000F" w:tentative="1">
      <w:start w:val="1"/>
      <w:numFmt w:val="decimal"/>
      <w:lvlText w:val="%7."/>
      <w:lvlJc w:val="left"/>
      <w:pPr>
        <w:ind w:left="5818" w:hanging="360"/>
      </w:pPr>
    </w:lvl>
    <w:lvl w:ilvl="7" w:tplc="04150019" w:tentative="1">
      <w:start w:val="1"/>
      <w:numFmt w:val="lowerLetter"/>
      <w:lvlText w:val="%8."/>
      <w:lvlJc w:val="left"/>
      <w:pPr>
        <w:ind w:left="6538" w:hanging="360"/>
      </w:pPr>
    </w:lvl>
    <w:lvl w:ilvl="8" w:tplc="0415001B" w:tentative="1">
      <w:start w:val="1"/>
      <w:numFmt w:val="lowerRoman"/>
      <w:lvlText w:val="%9."/>
      <w:lvlJc w:val="right"/>
      <w:pPr>
        <w:ind w:left="7258" w:hanging="180"/>
      </w:pPr>
    </w:lvl>
  </w:abstractNum>
  <w:abstractNum w:abstractNumId="21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C7554FB"/>
    <w:multiLevelType w:val="hybridMultilevel"/>
    <w:tmpl w:val="226CFF3E"/>
    <w:lvl w:ilvl="0" w:tplc="FE6C29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9"/>
  </w:num>
  <w:num w:numId="5">
    <w:abstractNumId w:val="7"/>
  </w:num>
  <w:num w:numId="6">
    <w:abstractNumId w:val="2"/>
  </w:num>
  <w:num w:numId="7">
    <w:abstractNumId w:val="18"/>
  </w:num>
  <w:num w:numId="8">
    <w:abstractNumId w:val="9"/>
  </w:num>
  <w:num w:numId="9">
    <w:abstractNumId w:val="23"/>
  </w:num>
  <w:num w:numId="10">
    <w:abstractNumId w:val="3"/>
  </w:num>
  <w:num w:numId="11">
    <w:abstractNumId w:val="21"/>
  </w:num>
  <w:num w:numId="12">
    <w:abstractNumId w:val="14"/>
  </w:num>
  <w:num w:numId="13">
    <w:abstractNumId w:val="1"/>
  </w:num>
  <w:num w:numId="14">
    <w:abstractNumId w:val="20"/>
  </w:num>
  <w:num w:numId="15">
    <w:abstractNumId w:val="15"/>
  </w:num>
  <w:num w:numId="16">
    <w:abstractNumId w:val="5"/>
  </w:num>
  <w:num w:numId="17">
    <w:abstractNumId w:val="22"/>
  </w:num>
  <w:num w:numId="18">
    <w:abstractNumId w:val="4"/>
  </w:num>
  <w:num w:numId="19">
    <w:abstractNumId w:val="17"/>
  </w:num>
  <w:num w:numId="20">
    <w:abstractNumId w:val="12"/>
  </w:num>
  <w:num w:numId="21">
    <w:abstractNumId w:val="16"/>
  </w:num>
  <w:num w:numId="22">
    <w:abstractNumId w:val="13"/>
  </w:num>
  <w:num w:numId="23">
    <w:abstractNumId w:val="8"/>
  </w:num>
  <w:num w:numId="24">
    <w:abstractNumId w:val="1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31704"/>
    <w:rsid w:val="00036DFD"/>
    <w:rsid w:val="00045F49"/>
    <w:rsid w:val="000524AD"/>
    <w:rsid w:val="000650F9"/>
    <w:rsid w:val="0008262E"/>
    <w:rsid w:val="0008622E"/>
    <w:rsid w:val="000A79DF"/>
    <w:rsid w:val="000C3D85"/>
    <w:rsid w:val="000F1D5C"/>
    <w:rsid w:val="000F7FD1"/>
    <w:rsid w:val="001053ED"/>
    <w:rsid w:val="00116FEA"/>
    <w:rsid w:val="00126018"/>
    <w:rsid w:val="00140574"/>
    <w:rsid w:val="00145DF7"/>
    <w:rsid w:val="00147380"/>
    <w:rsid w:val="00157D16"/>
    <w:rsid w:val="00177E92"/>
    <w:rsid w:val="0019682E"/>
    <w:rsid w:val="001A2B64"/>
    <w:rsid w:val="001C1E80"/>
    <w:rsid w:val="001E776E"/>
    <w:rsid w:val="001F22E5"/>
    <w:rsid w:val="0021385D"/>
    <w:rsid w:val="00217072"/>
    <w:rsid w:val="00217A1A"/>
    <w:rsid w:val="00221B02"/>
    <w:rsid w:val="002264D7"/>
    <w:rsid w:val="00234411"/>
    <w:rsid w:val="002472E2"/>
    <w:rsid w:val="00250035"/>
    <w:rsid w:val="0026275A"/>
    <w:rsid w:val="002668AF"/>
    <w:rsid w:val="0028058B"/>
    <w:rsid w:val="0029151A"/>
    <w:rsid w:val="002A22B2"/>
    <w:rsid w:val="002C513D"/>
    <w:rsid w:val="002E5368"/>
    <w:rsid w:val="002E6C6D"/>
    <w:rsid w:val="002F5441"/>
    <w:rsid w:val="00310783"/>
    <w:rsid w:val="00314511"/>
    <w:rsid w:val="0032713A"/>
    <w:rsid w:val="003273AF"/>
    <w:rsid w:val="00327C9D"/>
    <w:rsid w:val="00331C11"/>
    <w:rsid w:val="00332339"/>
    <w:rsid w:val="00353925"/>
    <w:rsid w:val="003772A6"/>
    <w:rsid w:val="003C67CF"/>
    <w:rsid w:val="003D753E"/>
    <w:rsid w:val="004029A0"/>
    <w:rsid w:val="0040357C"/>
    <w:rsid w:val="004134BA"/>
    <w:rsid w:val="00424D4A"/>
    <w:rsid w:val="00452D53"/>
    <w:rsid w:val="0046603A"/>
    <w:rsid w:val="00480877"/>
    <w:rsid w:val="00486E27"/>
    <w:rsid w:val="00487AF5"/>
    <w:rsid w:val="004E3F4E"/>
    <w:rsid w:val="00504CFC"/>
    <w:rsid w:val="00504F94"/>
    <w:rsid w:val="00516E1D"/>
    <w:rsid w:val="00543DE0"/>
    <w:rsid w:val="0055171D"/>
    <w:rsid w:val="00553DA8"/>
    <w:rsid w:val="00570361"/>
    <w:rsid w:val="0057653A"/>
    <w:rsid w:val="0058293C"/>
    <w:rsid w:val="00592E0E"/>
    <w:rsid w:val="005A5F2B"/>
    <w:rsid w:val="005A7631"/>
    <w:rsid w:val="005B1370"/>
    <w:rsid w:val="005B7D22"/>
    <w:rsid w:val="005E2350"/>
    <w:rsid w:val="005F35AC"/>
    <w:rsid w:val="00602BA1"/>
    <w:rsid w:val="00612639"/>
    <w:rsid w:val="00620FB6"/>
    <w:rsid w:val="00621A09"/>
    <w:rsid w:val="00642BCB"/>
    <w:rsid w:val="0065276D"/>
    <w:rsid w:val="006737B0"/>
    <w:rsid w:val="00682C26"/>
    <w:rsid w:val="00696A42"/>
    <w:rsid w:val="006B2643"/>
    <w:rsid w:val="006B4649"/>
    <w:rsid w:val="006B79B7"/>
    <w:rsid w:val="006C434C"/>
    <w:rsid w:val="006D0F11"/>
    <w:rsid w:val="006D6DBC"/>
    <w:rsid w:val="006E2796"/>
    <w:rsid w:val="006E7776"/>
    <w:rsid w:val="007015E6"/>
    <w:rsid w:val="007030E8"/>
    <w:rsid w:val="00712EAC"/>
    <w:rsid w:val="00712FA3"/>
    <w:rsid w:val="0073116D"/>
    <w:rsid w:val="00733A60"/>
    <w:rsid w:val="00745DB5"/>
    <w:rsid w:val="0074696A"/>
    <w:rsid w:val="007543B0"/>
    <w:rsid w:val="0079417F"/>
    <w:rsid w:val="007A23E8"/>
    <w:rsid w:val="007B1775"/>
    <w:rsid w:val="007C26F2"/>
    <w:rsid w:val="007C5A8C"/>
    <w:rsid w:val="007D0DB5"/>
    <w:rsid w:val="007E4C76"/>
    <w:rsid w:val="007E5AA7"/>
    <w:rsid w:val="008274B3"/>
    <w:rsid w:val="00842C34"/>
    <w:rsid w:val="00851556"/>
    <w:rsid w:val="008542B8"/>
    <w:rsid w:val="008558C5"/>
    <w:rsid w:val="00872319"/>
    <w:rsid w:val="00881C5D"/>
    <w:rsid w:val="00885699"/>
    <w:rsid w:val="008B509F"/>
    <w:rsid w:val="00907779"/>
    <w:rsid w:val="00911441"/>
    <w:rsid w:val="00940239"/>
    <w:rsid w:val="00950D74"/>
    <w:rsid w:val="0098025B"/>
    <w:rsid w:val="0099722F"/>
    <w:rsid w:val="009B01A1"/>
    <w:rsid w:val="009C186A"/>
    <w:rsid w:val="009D05C2"/>
    <w:rsid w:val="009D4214"/>
    <w:rsid w:val="00A118A4"/>
    <w:rsid w:val="00A33A61"/>
    <w:rsid w:val="00A40DE5"/>
    <w:rsid w:val="00A45954"/>
    <w:rsid w:val="00A6430C"/>
    <w:rsid w:val="00A92895"/>
    <w:rsid w:val="00AB01A1"/>
    <w:rsid w:val="00AE25F1"/>
    <w:rsid w:val="00AE3CD0"/>
    <w:rsid w:val="00B03C98"/>
    <w:rsid w:val="00B5377A"/>
    <w:rsid w:val="00B57213"/>
    <w:rsid w:val="00B720BF"/>
    <w:rsid w:val="00B72B1B"/>
    <w:rsid w:val="00B7352C"/>
    <w:rsid w:val="00B95868"/>
    <w:rsid w:val="00BA0484"/>
    <w:rsid w:val="00BA31BE"/>
    <w:rsid w:val="00BA543E"/>
    <w:rsid w:val="00BC2165"/>
    <w:rsid w:val="00BC2382"/>
    <w:rsid w:val="00BC34CB"/>
    <w:rsid w:val="00BD4C52"/>
    <w:rsid w:val="00BD6620"/>
    <w:rsid w:val="00C00FDE"/>
    <w:rsid w:val="00C22D09"/>
    <w:rsid w:val="00C42086"/>
    <w:rsid w:val="00C5741E"/>
    <w:rsid w:val="00C61847"/>
    <w:rsid w:val="00C7390D"/>
    <w:rsid w:val="00C93F0C"/>
    <w:rsid w:val="00CA7FC6"/>
    <w:rsid w:val="00CB6C70"/>
    <w:rsid w:val="00CC18E6"/>
    <w:rsid w:val="00CC2EE6"/>
    <w:rsid w:val="00CC7C46"/>
    <w:rsid w:val="00CF2E8C"/>
    <w:rsid w:val="00D1790F"/>
    <w:rsid w:val="00D3554B"/>
    <w:rsid w:val="00D40D61"/>
    <w:rsid w:val="00D51DF5"/>
    <w:rsid w:val="00D742B1"/>
    <w:rsid w:val="00D77350"/>
    <w:rsid w:val="00D9070B"/>
    <w:rsid w:val="00D95990"/>
    <w:rsid w:val="00DA38EC"/>
    <w:rsid w:val="00DA66F1"/>
    <w:rsid w:val="00DB6E28"/>
    <w:rsid w:val="00DB6EB4"/>
    <w:rsid w:val="00DC055E"/>
    <w:rsid w:val="00DE014C"/>
    <w:rsid w:val="00E05F67"/>
    <w:rsid w:val="00E06A2C"/>
    <w:rsid w:val="00E07ECE"/>
    <w:rsid w:val="00E35AEE"/>
    <w:rsid w:val="00E53D17"/>
    <w:rsid w:val="00E62894"/>
    <w:rsid w:val="00E637FA"/>
    <w:rsid w:val="00E7219D"/>
    <w:rsid w:val="00E75F84"/>
    <w:rsid w:val="00E83B33"/>
    <w:rsid w:val="00EA3024"/>
    <w:rsid w:val="00EB2285"/>
    <w:rsid w:val="00EB3284"/>
    <w:rsid w:val="00EB4CB9"/>
    <w:rsid w:val="00EC4C4B"/>
    <w:rsid w:val="00EC59BF"/>
    <w:rsid w:val="00F23353"/>
    <w:rsid w:val="00F40E6E"/>
    <w:rsid w:val="00F463E3"/>
    <w:rsid w:val="00F6500D"/>
    <w:rsid w:val="00F737EF"/>
    <w:rsid w:val="00F76593"/>
    <w:rsid w:val="00FB384F"/>
    <w:rsid w:val="00FC3CEF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BF7770-23AE-4BE6-8F72-1BB301593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5</Pages>
  <Words>1206</Words>
  <Characters>7240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91</cp:revision>
  <cp:lastPrinted>2024-07-26T10:23:00Z</cp:lastPrinted>
  <dcterms:created xsi:type="dcterms:W3CDTF">2025-12-12T13:03:00Z</dcterms:created>
  <dcterms:modified xsi:type="dcterms:W3CDTF">2026-01-27T13:20:00Z</dcterms:modified>
</cp:coreProperties>
</file>