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386" w:rsidRPr="0075759A" w:rsidRDefault="00935E4C" w:rsidP="00935E4C">
      <w:pPr>
        <w:jc w:val="right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sz w:val="20"/>
          <w:szCs w:val="20"/>
        </w:rPr>
        <w:t>PR3</w:t>
      </w:r>
      <w:r w:rsidR="00D5431E">
        <w:rPr>
          <w:rFonts w:ascii="Century Gothic" w:hAnsi="Century Gothic"/>
          <w:sz w:val="20"/>
          <w:szCs w:val="20"/>
        </w:rPr>
        <w:t>.1</w:t>
      </w:r>
      <w:bookmarkStart w:id="0" w:name="_GoBack"/>
      <w:bookmarkEnd w:id="0"/>
      <w:r w:rsidRPr="0075759A">
        <w:rPr>
          <w:rFonts w:ascii="Century Gothic" w:hAnsi="Century Gothic"/>
          <w:sz w:val="20"/>
          <w:szCs w:val="20"/>
        </w:rPr>
        <w:t>_F110_w3</w:t>
      </w:r>
    </w:p>
    <w:p w:rsidR="00935E4C" w:rsidRPr="0075759A" w:rsidRDefault="00935E4C" w:rsidP="00935E4C">
      <w:pPr>
        <w:jc w:val="center"/>
        <w:rPr>
          <w:rFonts w:ascii="Century Gothic" w:hAnsi="Century Gothic"/>
          <w:sz w:val="20"/>
          <w:szCs w:val="20"/>
        </w:rPr>
      </w:pPr>
    </w:p>
    <w:p w:rsidR="00935E4C" w:rsidRPr="0075759A" w:rsidRDefault="00935E4C" w:rsidP="00935E4C">
      <w:pPr>
        <w:jc w:val="center"/>
        <w:rPr>
          <w:rFonts w:ascii="Century Gothic" w:hAnsi="Century Gothic"/>
          <w:b/>
        </w:rPr>
      </w:pPr>
      <w:r w:rsidRPr="0075759A">
        <w:rPr>
          <w:rFonts w:ascii="Century Gothic" w:hAnsi="Century Gothic"/>
          <w:b/>
        </w:rPr>
        <w:t>Świadoma zgoda przedstawiciela ustawowego/opiekuna prawnego na leczenie zagrażającej zdrowiu noworodka hiperbiliru</w:t>
      </w:r>
      <w:r w:rsidR="00CB11E8">
        <w:rPr>
          <w:rFonts w:ascii="Century Gothic" w:hAnsi="Century Gothic"/>
          <w:b/>
        </w:rPr>
        <w:t>binemii pośredniej, szczególnie</w:t>
      </w:r>
      <w:r w:rsidR="00CB11E8">
        <w:rPr>
          <w:rFonts w:ascii="Century Gothic" w:hAnsi="Century Gothic"/>
          <w:b/>
        </w:rPr>
        <w:br/>
      </w:r>
      <w:r w:rsidRPr="0075759A">
        <w:rPr>
          <w:rFonts w:ascii="Century Gothic" w:hAnsi="Century Gothic"/>
          <w:b/>
        </w:rPr>
        <w:t xml:space="preserve">w przypadku choroby hemolitycznej </w:t>
      </w:r>
    </w:p>
    <w:p w:rsidR="00935E4C" w:rsidRPr="0075759A" w:rsidRDefault="00935E4C" w:rsidP="00935E4C">
      <w:pPr>
        <w:jc w:val="center"/>
        <w:rPr>
          <w:rFonts w:ascii="Century Gothic" w:hAnsi="Century Gothic"/>
          <w:sz w:val="20"/>
          <w:szCs w:val="20"/>
        </w:rPr>
      </w:pPr>
    </w:p>
    <w:p w:rsidR="00935E4C" w:rsidRPr="0075759A" w:rsidRDefault="00935E4C" w:rsidP="00935E4C">
      <w:pPr>
        <w:jc w:val="center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sz w:val="20"/>
          <w:szCs w:val="20"/>
        </w:rPr>
        <w:t>Każda interwencja medyczna wiąże się z możliwością wystąpienia powikłań</w:t>
      </w:r>
    </w:p>
    <w:p w:rsidR="00935E4C" w:rsidRPr="0075759A" w:rsidRDefault="00935E4C" w:rsidP="00935E4C">
      <w:pPr>
        <w:jc w:val="center"/>
        <w:rPr>
          <w:rFonts w:ascii="Century Gothic" w:hAnsi="Century Gothic"/>
          <w:sz w:val="20"/>
          <w:szCs w:val="20"/>
        </w:rPr>
      </w:pPr>
    </w:p>
    <w:p w:rsidR="00935E4C" w:rsidRPr="0075759A" w:rsidRDefault="00935E4C" w:rsidP="00935E4C">
      <w:pPr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Nazwisko i imię dziecka</w:t>
      </w:r>
      <w:r w:rsidRPr="0075759A">
        <w:rPr>
          <w:rFonts w:ascii="Century Gothic" w:hAnsi="Century Gothic"/>
          <w:sz w:val="20"/>
          <w:szCs w:val="20"/>
        </w:rPr>
        <w:t xml:space="preserve">:…………………………………………………     </w:t>
      </w:r>
      <w:r w:rsidRPr="0075759A">
        <w:rPr>
          <w:rFonts w:ascii="Century Gothic" w:hAnsi="Century Gothic"/>
          <w:b/>
          <w:sz w:val="20"/>
          <w:szCs w:val="20"/>
        </w:rPr>
        <w:t>ID</w:t>
      </w:r>
      <w:r w:rsidRPr="0075759A">
        <w:rPr>
          <w:rFonts w:ascii="Century Gothic" w:hAnsi="Century Gothic"/>
          <w:sz w:val="20"/>
          <w:szCs w:val="20"/>
        </w:rPr>
        <w:t>:………………………….</w:t>
      </w:r>
    </w:p>
    <w:p w:rsidR="00211139" w:rsidRDefault="00211139" w:rsidP="00935E4C">
      <w:pPr>
        <w:rPr>
          <w:rFonts w:ascii="Century Gothic" w:hAnsi="Century Gothic"/>
          <w:b/>
          <w:sz w:val="20"/>
          <w:szCs w:val="20"/>
        </w:rPr>
      </w:pPr>
    </w:p>
    <w:p w:rsidR="00935E4C" w:rsidRPr="0075759A" w:rsidRDefault="00935E4C" w:rsidP="00935E4C">
      <w:pPr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Rozpoznanie</w:t>
      </w:r>
      <w:r w:rsidR="00FF78C1">
        <w:rPr>
          <w:rFonts w:ascii="Century Gothic" w:hAnsi="Century Gothic"/>
          <w:b/>
          <w:sz w:val="20"/>
          <w:szCs w:val="20"/>
        </w:rPr>
        <w:t>:</w:t>
      </w:r>
      <w:r w:rsidRPr="0075759A">
        <w:rPr>
          <w:rFonts w:ascii="Century Gothic" w:hAnsi="Century Gothic"/>
          <w:sz w:val="20"/>
          <w:szCs w:val="20"/>
        </w:rPr>
        <w:t xml:space="preserve"> Hiperbilirubinemia pośrednia zagrażająca życiu</w:t>
      </w:r>
    </w:p>
    <w:p w:rsidR="00935E4C" w:rsidRPr="0075759A" w:rsidRDefault="00935E4C" w:rsidP="00FF78C1">
      <w:pPr>
        <w:jc w:val="both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Proponowany sposób leczenia</w:t>
      </w:r>
      <w:r w:rsidRPr="0075759A">
        <w:rPr>
          <w:rFonts w:ascii="Century Gothic" w:hAnsi="Century Gothic"/>
          <w:sz w:val="20"/>
          <w:szCs w:val="20"/>
        </w:rPr>
        <w:t>: w przypadku</w:t>
      </w:r>
      <w:r w:rsidR="00FF78C1">
        <w:rPr>
          <w:rFonts w:ascii="Century Gothic" w:hAnsi="Century Gothic"/>
          <w:sz w:val="20"/>
          <w:szCs w:val="20"/>
        </w:rPr>
        <w:t>,</w:t>
      </w:r>
      <w:r w:rsidRPr="0075759A">
        <w:rPr>
          <w:rFonts w:ascii="Century Gothic" w:hAnsi="Century Gothic"/>
          <w:sz w:val="20"/>
          <w:szCs w:val="20"/>
        </w:rPr>
        <w:t xml:space="preserve"> gdy inne metody leczenia hiperbilirubinemii okazały się nieskuteczne - transfuzja wymienna.</w:t>
      </w:r>
    </w:p>
    <w:p w:rsidR="00935E4C" w:rsidRPr="0075759A" w:rsidRDefault="00935E4C" w:rsidP="00FF78C1">
      <w:pPr>
        <w:jc w:val="both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sz w:val="20"/>
          <w:szCs w:val="20"/>
        </w:rPr>
        <w:t>Zabieg wykonywany jest w jałowych warunkach. Najczęściej do celów transfuzji wymiennej wykorzystywane są naczynia pępkowe: żyła i tętnica, d</w:t>
      </w:r>
      <w:r w:rsidR="00FF78C1">
        <w:rPr>
          <w:rFonts w:ascii="Century Gothic" w:hAnsi="Century Gothic"/>
          <w:sz w:val="20"/>
          <w:szCs w:val="20"/>
        </w:rPr>
        <w:t>o których wprowadza się cewniki</w:t>
      </w:r>
      <w:r w:rsidR="00FF78C1">
        <w:rPr>
          <w:rFonts w:ascii="Century Gothic" w:hAnsi="Century Gothic"/>
          <w:sz w:val="20"/>
          <w:szCs w:val="20"/>
        </w:rPr>
        <w:br/>
        <w:t>i przyłącza do tzw. z</w:t>
      </w:r>
      <w:r w:rsidRPr="0075759A">
        <w:rPr>
          <w:rFonts w:ascii="Century Gothic" w:hAnsi="Century Gothic"/>
          <w:sz w:val="20"/>
          <w:szCs w:val="20"/>
        </w:rPr>
        <w:t>estawu do transfuzji wymiennej</w:t>
      </w:r>
      <w:r w:rsidR="00FF78C1">
        <w:rPr>
          <w:rFonts w:ascii="Century Gothic" w:hAnsi="Century Gothic"/>
          <w:sz w:val="20"/>
          <w:szCs w:val="20"/>
        </w:rPr>
        <w:t xml:space="preserve"> </w:t>
      </w:r>
      <w:r w:rsidRPr="0075759A">
        <w:rPr>
          <w:rFonts w:ascii="Century Gothic" w:hAnsi="Century Gothic"/>
          <w:sz w:val="20"/>
          <w:szCs w:val="20"/>
        </w:rPr>
        <w:t xml:space="preserve">(zawiera strzykawki, worki, dreny i układ łączników). Cały sprzęt jest jednorazowy i przeznaczony do tego typu zabiegów). Pacjent jest monitorowany, a więc obserwowane są jego podstawowe parametry życiowe. </w:t>
      </w:r>
      <w:r w:rsidR="008F7F6A" w:rsidRPr="0075759A">
        <w:rPr>
          <w:rFonts w:ascii="Century Gothic" w:hAnsi="Century Gothic"/>
          <w:sz w:val="20"/>
          <w:szCs w:val="20"/>
        </w:rPr>
        <w:t xml:space="preserve">Zabieg polega na powolnym pobieraniu krwi dziecka i uzupełnieniu pobranej ilości krwi przygotowaną do transfuzji. Po zakończeniu wymiany cewniki pozostają jeszcze przez pewien czas w naczyniach pępka, aż do upewnienia się, że poziom bilirubiny obniżył się i nie jest konieczna kolejna transfuzja. </w:t>
      </w:r>
    </w:p>
    <w:p w:rsidR="008F7F6A" w:rsidRPr="0075759A" w:rsidRDefault="008F7F6A" w:rsidP="00FF78C1">
      <w:pPr>
        <w:jc w:val="both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Oczekiwane korzyści</w:t>
      </w:r>
      <w:r w:rsidR="00FF78C1">
        <w:rPr>
          <w:rFonts w:ascii="Century Gothic" w:hAnsi="Century Gothic"/>
          <w:b/>
          <w:sz w:val="20"/>
          <w:szCs w:val="20"/>
        </w:rPr>
        <w:t>:</w:t>
      </w:r>
      <w:r w:rsidRPr="0075759A">
        <w:rPr>
          <w:rFonts w:ascii="Century Gothic" w:hAnsi="Century Gothic"/>
          <w:sz w:val="20"/>
          <w:szCs w:val="20"/>
        </w:rPr>
        <w:t xml:space="preserve"> przetoczenie wymienne dwóch objętości krwi noworodka wymienia ok. 85% krwi noworodka i obniża poziom bilirubiny średnio o połowę</w:t>
      </w:r>
      <w:r w:rsidR="0075759A" w:rsidRPr="0075759A">
        <w:rPr>
          <w:rFonts w:ascii="Century Gothic" w:hAnsi="Century Gothic"/>
          <w:sz w:val="20"/>
          <w:szCs w:val="20"/>
        </w:rPr>
        <w:t>. Dodatkowo usuwane są krwinki, które zostały uszkodzone przez przeciwciała pow</w:t>
      </w:r>
      <w:r w:rsidR="00FF78C1">
        <w:rPr>
          <w:rFonts w:ascii="Century Gothic" w:hAnsi="Century Gothic"/>
          <w:sz w:val="20"/>
          <w:szCs w:val="20"/>
        </w:rPr>
        <w:t>stałe w trakcie życia płodowego</w:t>
      </w:r>
      <w:r w:rsidR="00FF78C1">
        <w:rPr>
          <w:rFonts w:ascii="Century Gothic" w:hAnsi="Century Gothic"/>
          <w:sz w:val="20"/>
          <w:szCs w:val="20"/>
        </w:rPr>
        <w:br/>
      </w:r>
      <w:r w:rsidR="0075759A" w:rsidRPr="0075759A">
        <w:rPr>
          <w:rFonts w:ascii="Century Gothic" w:hAnsi="Century Gothic"/>
          <w:sz w:val="20"/>
          <w:szCs w:val="20"/>
        </w:rPr>
        <w:t xml:space="preserve">w organizmie matki oraz same przeciwciała, które są odpowiedzialne za nadmierne niszczenie krwinek. </w:t>
      </w:r>
    </w:p>
    <w:p w:rsidR="0075759A" w:rsidRPr="0075759A" w:rsidRDefault="0075759A" w:rsidP="00FF78C1">
      <w:pPr>
        <w:jc w:val="both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Ryzyko</w:t>
      </w:r>
      <w:r w:rsidR="00FF78C1">
        <w:rPr>
          <w:rFonts w:ascii="Century Gothic" w:hAnsi="Century Gothic"/>
          <w:b/>
          <w:sz w:val="20"/>
          <w:szCs w:val="20"/>
        </w:rPr>
        <w:t>:</w:t>
      </w:r>
      <w:r w:rsidRPr="0075759A">
        <w:rPr>
          <w:rFonts w:ascii="Century Gothic" w:hAnsi="Century Gothic"/>
          <w:sz w:val="20"/>
          <w:szCs w:val="20"/>
        </w:rPr>
        <w:t xml:space="preserve"> mogą wystąpić powikłania po</w:t>
      </w:r>
      <w:r w:rsidR="00FF78C1">
        <w:rPr>
          <w:rFonts w:ascii="Century Gothic" w:hAnsi="Century Gothic"/>
          <w:sz w:val="20"/>
          <w:szCs w:val="20"/>
        </w:rPr>
        <w:t>d postacią zaburzeń oddychania (</w:t>
      </w:r>
      <w:r w:rsidRPr="0075759A">
        <w:rPr>
          <w:rFonts w:ascii="Century Gothic" w:hAnsi="Century Gothic"/>
          <w:sz w:val="20"/>
          <w:szCs w:val="20"/>
        </w:rPr>
        <w:t>bezdech), bradykardii, hipokalcemii i małopłytkowości, policytemii, zakażeń, zaburzeń termoregulacji. Ponadto mogą wystąpić powikłania naczyniowe tj. skurcz naczyń z niedokrwieniem kończyn dolnych</w:t>
      </w:r>
      <w:r w:rsidR="00FF78C1">
        <w:rPr>
          <w:rFonts w:ascii="Century Gothic" w:hAnsi="Century Gothic"/>
          <w:sz w:val="20"/>
          <w:szCs w:val="20"/>
        </w:rPr>
        <w:t xml:space="preserve"> </w:t>
      </w:r>
      <w:r w:rsidRPr="0075759A">
        <w:rPr>
          <w:rFonts w:ascii="Century Gothic" w:hAnsi="Century Gothic"/>
          <w:sz w:val="20"/>
          <w:szCs w:val="20"/>
        </w:rPr>
        <w:t xml:space="preserve">- zwykle przejściowy, skrzepy utrudniające przepływ krwi i powodujące niedokrwienie narządów wewnętrznych. </w:t>
      </w:r>
    </w:p>
    <w:p w:rsidR="0075759A" w:rsidRPr="0075759A" w:rsidRDefault="0075759A" w:rsidP="00935E4C">
      <w:pPr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Powikłania późne</w:t>
      </w:r>
      <w:r w:rsidR="00FF78C1">
        <w:rPr>
          <w:rFonts w:ascii="Century Gothic" w:hAnsi="Century Gothic"/>
          <w:sz w:val="20"/>
          <w:szCs w:val="20"/>
        </w:rPr>
        <w:t>:</w:t>
      </w:r>
      <w:r w:rsidRPr="0075759A">
        <w:rPr>
          <w:rFonts w:ascii="Century Gothic" w:hAnsi="Century Gothic"/>
          <w:sz w:val="20"/>
          <w:szCs w:val="20"/>
        </w:rPr>
        <w:t xml:space="preserve"> związane z ewentualnymi powikłaniami opisanymi w punkcie Ryzyko.</w:t>
      </w:r>
    </w:p>
    <w:p w:rsidR="0075759A" w:rsidRPr="0075759A" w:rsidRDefault="0075759A" w:rsidP="00FF78C1">
      <w:pPr>
        <w:jc w:val="both"/>
        <w:rPr>
          <w:rFonts w:ascii="Century Gothic" w:hAnsi="Century Gothic"/>
          <w:sz w:val="20"/>
          <w:szCs w:val="20"/>
        </w:rPr>
      </w:pPr>
      <w:r w:rsidRPr="00FF78C1">
        <w:rPr>
          <w:rFonts w:ascii="Century Gothic" w:hAnsi="Century Gothic"/>
          <w:b/>
          <w:sz w:val="20"/>
          <w:szCs w:val="20"/>
        </w:rPr>
        <w:t>Inne sposoby postępowania</w:t>
      </w:r>
      <w:r w:rsidR="00FF78C1">
        <w:rPr>
          <w:rFonts w:ascii="Century Gothic" w:hAnsi="Century Gothic"/>
          <w:sz w:val="20"/>
          <w:szCs w:val="20"/>
        </w:rPr>
        <w:t>: f</w:t>
      </w:r>
      <w:r w:rsidRPr="0075759A">
        <w:rPr>
          <w:rFonts w:ascii="Century Gothic" w:hAnsi="Century Gothic"/>
          <w:sz w:val="20"/>
          <w:szCs w:val="20"/>
        </w:rPr>
        <w:t xml:space="preserve">ototerapia, stosowana w przypadku hiperbilirubinemii pośredniej fototerapia może okazać się niewystarczająca. </w:t>
      </w:r>
    </w:p>
    <w:p w:rsidR="0075759A" w:rsidRPr="0075759A" w:rsidRDefault="0075759A" w:rsidP="00FF78C1">
      <w:pPr>
        <w:jc w:val="both"/>
        <w:rPr>
          <w:rFonts w:ascii="Century Gothic" w:hAnsi="Century Gothic"/>
          <w:sz w:val="20"/>
          <w:szCs w:val="20"/>
        </w:rPr>
      </w:pPr>
      <w:r w:rsidRPr="0075759A">
        <w:rPr>
          <w:rFonts w:ascii="Century Gothic" w:hAnsi="Century Gothic"/>
          <w:b/>
          <w:sz w:val="20"/>
          <w:szCs w:val="20"/>
        </w:rPr>
        <w:t>Skutki odmowy</w:t>
      </w:r>
      <w:r w:rsidR="00FF78C1">
        <w:rPr>
          <w:rFonts w:ascii="Century Gothic" w:hAnsi="Century Gothic"/>
          <w:b/>
          <w:sz w:val="20"/>
          <w:szCs w:val="20"/>
        </w:rPr>
        <w:t>:</w:t>
      </w:r>
      <w:r w:rsidRPr="0075759A">
        <w:rPr>
          <w:rFonts w:ascii="Century Gothic" w:hAnsi="Century Gothic"/>
          <w:sz w:val="20"/>
          <w:szCs w:val="20"/>
        </w:rPr>
        <w:t xml:space="preserve"> nasilona hiperbilirubinemia może doprowadzić do uszkodzenia mózgu pod postacią żółtaczki jąder podkorowych mózgu, co w następstwie skutkuje trwałym uszkodzeniom funkcji mózgu dziecka.</w:t>
      </w:r>
    </w:p>
    <w:p w:rsidR="0075759A" w:rsidRDefault="0075759A" w:rsidP="00935E4C"/>
    <w:p w:rsidR="00FF78C1" w:rsidRDefault="00FF78C1" w:rsidP="00935E4C"/>
    <w:p w:rsidR="008F7F6A" w:rsidRDefault="008F7F6A" w:rsidP="00935E4C"/>
    <w:p w:rsidR="00FF78C1" w:rsidRPr="00F564AD" w:rsidRDefault="00FF78C1" w:rsidP="00FF78C1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  <w:r w:rsidRPr="00F564AD">
        <w:rPr>
          <w:rFonts w:ascii="Century Gothic" w:hAnsi="Century Gothic"/>
          <w:b/>
          <w:sz w:val="20"/>
          <w:szCs w:val="20"/>
          <w:u w:val="single"/>
        </w:rPr>
        <w:lastRenderedPageBreak/>
        <w:t>OŚWIADCZENIE  PRZEDSTAWICIELA USTAWOWEGO/OPIEKUNA PRAWNEGO</w:t>
      </w:r>
    </w:p>
    <w:p w:rsidR="00FF78C1" w:rsidRPr="00F564AD" w:rsidRDefault="00FF78C1" w:rsidP="00FF78C1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</w:p>
    <w:p w:rsidR="00FF78C1" w:rsidRPr="00F564AD" w:rsidRDefault="00FF78C1" w:rsidP="00FF78C1">
      <w:pPr>
        <w:jc w:val="both"/>
        <w:rPr>
          <w:rFonts w:ascii="Century Gothic" w:hAnsi="Century Gothic"/>
          <w:sz w:val="20"/>
          <w:szCs w:val="20"/>
        </w:rPr>
      </w:pPr>
      <w:r w:rsidRPr="00F564AD">
        <w:rPr>
          <w:rFonts w:ascii="Century Gothic" w:hAnsi="Century Gothic"/>
          <w:sz w:val="20"/>
          <w:szCs w:val="20"/>
        </w:rPr>
        <w:t>Oświadczam, iż zapoznałem/łam się z treścią niniejszego formularza oraz zostałem/łam poinformowany/na o proponowanym rodzaju leczenia.</w:t>
      </w:r>
    </w:p>
    <w:p w:rsidR="00FF78C1" w:rsidRPr="00F564AD" w:rsidRDefault="00FF78C1" w:rsidP="00FF78C1">
      <w:pPr>
        <w:jc w:val="both"/>
        <w:rPr>
          <w:rFonts w:ascii="Century Gothic" w:hAnsi="Century Gothic"/>
          <w:sz w:val="20"/>
          <w:szCs w:val="20"/>
        </w:rPr>
      </w:pPr>
      <w:r w:rsidRPr="00F564AD">
        <w:rPr>
          <w:rFonts w:ascii="Century Gothic" w:hAnsi="Century Gothic"/>
          <w:sz w:val="20"/>
          <w:szCs w:val="20"/>
        </w:rPr>
        <w:t xml:space="preserve">Oświadczam, iż miałem/łam możliwość nieograniczonego zadawania pytań dotyczących proponowanego leczenia i otrzymałem/łam na nie satysfakcjonujące mnie odpowiedzi. </w:t>
      </w: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</w:p>
    <w:p w:rsidR="00FF78C1" w:rsidRPr="00F564AD" w:rsidRDefault="00FF78C1" w:rsidP="00FF78C1">
      <w:pPr>
        <w:rPr>
          <w:rFonts w:ascii="Century Gothic" w:hAnsi="Century Gothic"/>
          <w:b/>
          <w:sz w:val="20"/>
          <w:szCs w:val="20"/>
        </w:rPr>
      </w:pPr>
      <w:r w:rsidRPr="00F564AD">
        <w:rPr>
          <w:rFonts w:ascii="Century Gothic" w:hAnsi="Century Gothic"/>
          <w:b/>
          <w:sz w:val="20"/>
          <w:szCs w:val="20"/>
        </w:rPr>
        <w:t>Zgadzam się na wykonanie zaproponowanej procedury medycznej</w:t>
      </w: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  <w:r w:rsidRPr="00F564AD">
        <w:rPr>
          <w:rFonts w:ascii="Century Gothic" w:hAnsi="Century Gothic"/>
          <w:sz w:val="20"/>
          <w:szCs w:val="20"/>
        </w:rPr>
        <w:t>………………………………………………………………………………</w:t>
      </w:r>
      <w:r>
        <w:rPr>
          <w:rFonts w:ascii="Century Gothic" w:hAnsi="Century Gothic"/>
          <w:sz w:val="20"/>
          <w:szCs w:val="20"/>
        </w:rPr>
        <w:t xml:space="preserve">                  ..………………………</w:t>
      </w: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  <w:r w:rsidRPr="00F564AD">
        <w:rPr>
          <w:rFonts w:ascii="Century Gothic" w:hAnsi="Century Gothic"/>
          <w:sz w:val="20"/>
          <w:szCs w:val="20"/>
        </w:rPr>
        <w:t>Data i podpis przedstawiciela ustawowego/opiekuna prawnego                Data i podpis lekarza</w:t>
      </w: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</w:p>
    <w:p w:rsidR="00FF78C1" w:rsidRPr="00F564AD" w:rsidRDefault="00FF78C1" w:rsidP="00FF78C1">
      <w:pPr>
        <w:rPr>
          <w:rFonts w:ascii="Century Gothic" w:hAnsi="Century Gothic"/>
          <w:b/>
          <w:sz w:val="20"/>
          <w:szCs w:val="20"/>
        </w:rPr>
      </w:pPr>
      <w:r w:rsidRPr="00F564AD">
        <w:rPr>
          <w:rFonts w:ascii="Century Gothic" w:hAnsi="Century Gothic"/>
          <w:b/>
          <w:sz w:val="20"/>
          <w:szCs w:val="20"/>
        </w:rPr>
        <w:t>Nie wyrażam zgody na przeprowadzenie proponowanej procedury medycznej</w:t>
      </w:r>
    </w:p>
    <w:p w:rsidR="00FF78C1" w:rsidRPr="00F564AD" w:rsidRDefault="00FF78C1" w:rsidP="00FF78C1">
      <w:pPr>
        <w:rPr>
          <w:rFonts w:ascii="Century Gothic" w:hAnsi="Century Gothic"/>
          <w:b/>
          <w:sz w:val="20"/>
          <w:szCs w:val="20"/>
        </w:rPr>
      </w:pP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                …………………………</w:t>
      </w:r>
    </w:p>
    <w:p w:rsidR="00FF78C1" w:rsidRPr="00F564AD" w:rsidRDefault="00FF78C1" w:rsidP="00FF78C1">
      <w:pPr>
        <w:rPr>
          <w:rFonts w:ascii="Century Gothic" w:hAnsi="Century Gothic"/>
          <w:sz w:val="20"/>
          <w:szCs w:val="20"/>
        </w:rPr>
      </w:pPr>
      <w:r w:rsidRPr="00F564AD">
        <w:rPr>
          <w:rFonts w:ascii="Century Gothic" w:hAnsi="Century Gothic"/>
          <w:sz w:val="20"/>
          <w:szCs w:val="20"/>
        </w:rPr>
        <w:t>Data i podpis przedstawiciela ustawowego/opiekuna prawnego                Data i podpis lekarza</w:t>
      </w:r>
    </w:p>
    <w:p w:rsidR="00FF78C1" w:rsidRPr="00F564AD" w:rsidRDefault="00FF78C1" w:rsidP="00FF78C1">
      <w:pPr>
        <w:rPr>
          <w:rFonts w:ascii="Century Gothic" w:hAnsi="Century Gothic"/>
          <w:b/>
          <w:sz w:val="20"/>
          <w:szCs w:val="20"/>
        </w:rPr>
      </w:pPr>
    </w:p>
    <w:p w:rsidR="008F7F6A" w:rsidRDefault="008F7F6A" w:rsidP="00935E4C"/>
    <w:sectPr w:rsidR="008F7F6A" w:rsidSect="00637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35E4C"/>
    <w:rsid w:val="001C0FC0"/>
    <w:rsid w:val="00211139"/>
    <w:rsid w:val="004352FD"/>
    <w:rsid w:val="006374C9"/>
    <w:rsid w:val="0075759A"/>
    <w:rsid w:val="008F7F6A"/>
    <w:rsid w:val="00935E4C"/>
    <w:rsid w:val="00B96F93"/>
    <w:rsid w:val="00CA4386"/>
    <w:rsid w:val="00CB11E8"/>
    <w:rsid w:val="00D5431E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74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11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1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ln.sekretariat</dc:creator>
  <cp:lastModifiedBy>lom.krzyzewska</cp:lastModifiedBy>
  <cp:revision>2</cp:revision>
  <cp:lastPrinted>2025-04-24T09:21:00Z</cp:lastPrinted>
  <dcterms:created xsi:type="dcterms:W3CDTF">2025-04-24T09:55:00Z</dcterms:created>
  <dcterms:modified xsi:type="dcterms:W3CDTF">2025-04-24T09:55:00Z</dcterms:modified>
</cp:coreProperties>
</file>