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90C4E" w:rsidRDefault="00EC59BF" w:rsidP="00C90C4E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837388">
        <w:rPr>
          <w:rFonts w:ascii="Century Gothic" w:hAnsi="Century Gothic"/>
          <w:b/>
          <w:sz w:val="24"/>
          <w:szCs w:val="24"/>
        </w:rPr>
        <w:t>PR4_F262</w:t>
      </w:r>
      <w:r w:rsidR="00735429" w:rsidRPr="00735429">
        <w:rPr>
          <w:rFonts w:ascii="Century Gothic" w:hAnsi="Century Gothic"/>
          <w:b/>
          <w:sz w:val="24"/>
          <w:szCs w:val="24"/>
        </w:rPr>
        <w:t>_w1</w:t>
      </w:r>
    </w:p>
    <w:p w:rsidR="00C80C58" w:rsidRDefault="00C80C58" w:rsidP="00497B11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735429" w:rsidRDefault="00CC7198" w:rsidP="00494B59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735429">
        <w:rPr>
          <w:rFonts w:ascii="Century Gothic" w:hAnsi="Century Gothic"/>
          <w:b/>
          <w:sz w:val="24"/>
          <w:szCs w:val="24"/>
        </w:rPr>
        <w:t>INFORMACJA DLA PACJENTA ORAZ FORMULARZ ŚWIADOMEJ ZGODY</w:t>
      </w:r>
      <w:r w:rsidR="00837388">
        <w:rPr>
          <w:rFonts w:ascii="Century Gothic" w:hAnsi="Century Gothic"/>
          <w:b/>
          <w:sz w:val="24"/>
          <w:szCs w:val="24"/>
        </w:rPr>
        <w:t xml:space="preserve"> NA</w:t>
      </w:r>
    </w:p>
    <w:p w:rsidR="00735429" w:rsidRPr="00CC7198" w:rsidRDefault="00CC7198" w:rsidP="00494B59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</w:t>
      </w:r>
      <w:r w:rsidR="00837388">
        <w:rPr>
          <w:rFonts w:ascii="Century Gothic" w:hAnsi="Century Gothic"/>
          <w:b/>
          <w:sz w:val="24"/>
          <w:szCs w:val="24"/>
        </w:rPr>
        <w:tab/>
      </w:r>
      <w:r w:rsidR="00837388">
        <w:rPr>
          <w:rFonts w:ascii="Century Gothic" w:hAnsi="Century Gothic"/>
          <w:b/>
          <w:sz w:val="24"/>
          <w:szCs w:val="24"/>
        </w:rPr>
        <w:tab/>
      </w:r>
      <w:r>
        <w:rPr>
          <w:rFonts w:ascii="Century Gothic" w:hAnsi="Century Gothic"/>
          <w:b/>
          <w:sz w:val="24"/>
          <w:szCs w:val="24"/>
        </w:rPr>
        <w:t xml:space="preserve"> </w:t>
      </w:r>
      <w:r w:rsidR="00837388">
        <w:rPr>
          <w:rFonts w:ascii="Century Gothic" w:hAnsi="Century Gothic"/>
          <w:b/>
          <w:sz w:val="24"/>
          <w:szCs w:val="24"/>
        </w:rPr>
        <w:t>PRZEPROWADZENIE DISCECTOMII ENDOSKOPOWEJ</w:t>
      </w:r>
      <w:r w:rsidR="00110090" w:rsidRPr="00CC7198">
        <w:rPr>
          <w:rFonts w:ascii="Century Gothic" w:hAnsi="Century Gothic" w:cs="Tahoma"/>
          <w:b/>
          <w:sz w:val="24"/>
          <w:szCs w:val="24"/>
        </w:rPr>
        <w:t xml:space="preserve">                                      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4C62DC" w:rsidRDefault="00110090" w:rsidP="004C62DC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4C62DC">
        <w:rPr>
          <w:rFonts w:ascii="Century Gothic" w:hAnsi="Century Gothic"/>
          <w:b/>
          <w:sz w:val="24"/>
          <w:szCs w:val="24"/>
        </w:rPr>
        <w:t xml:space="preserve">INFORMACJA O </w:t>
      </w:r>
      <w:r w:rsidR="00837388" w:rsidRPr="004C62DC">
        <w:rPr>
          <w:rFonts w:ascii="Century Gothic" w:hAnsi="Century Gothic"/>
          <w:b/>
          <w:sz w:val="24"/>
          <w:szCs w:val="24"/>
        </w:rPr>
        <w:t>STANIE / ROZPOZNANIU:</w:t>
      </w:r>
    </w:p>
    <w:p w:rsidR="004C62DC" w:rsidRDefault="00837388" w:rsidP="004C62DC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4C62DC">
        <w:rPr>
          <w:rFonts w:ascii="Century Gothic" w:hAnsi="Century Gothic"/>
          <w:sz w:val="24"/>
          <w:szCs w:val="24"/>
        </w:rPr>
        <w:t xml:space="preserve">Na podstawie przeprowadzonych dotychczas badań rozpoznano u Pani/Pana </w:t>
      </w:r>
      <w:r w:rsidRPr="005D30EA">
        <w:rPr>
          <w:rFonts w:ascii="Century Gothic" w:hAnsi="Century Gothic"/>
          <w:b/>
          <w:sz w:val="24"/>
          <w:szCs w:val="24"/>
        </w:rPr>
        <w:t>PRZEPUKLINĘ DYSKU MIĘDZYKREGOWEGO ODCINKA  L-S  KRĘGOSŁUPA</w:t>
      </w:r>
    </w:p>
    <w:p w:rsidR="00837388" w:rsidRPr="004C62DC" w:rsidRDefault="00837388" w:rsidP="004C62DC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4C62DC">
        <w:rPr>
          <w:rFonts w:ascii="Century Gothic" w:hAnsi="Century Gothic"/>
          <w:sz w:val="24"/>
          <w:szCs w:val="24"/>
        </w:rPr>
        <w:t>W chorobie tej na skutek postępujących, zwyrodnieniowych zmian w strukturze anatomicznej kręgosłupa dochodzi do nieprawidłowości w funkcjonowaniu samego kręgosłupa, ale także do upośledzenia działania, a w późniejszym okresie do uszkodzenia rdzenia kręgowego i/lub korzeni nerwowych. Do najczęściej występujących objawów choroby należą m.in.:</w:t>
      </w:r>
    </w:p>
    <w:p w:rsidR="00837388" w:rsidRPr="004C62DC" w:rsidRDefault="00837388" w:rsidP="004C62DC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4C62DC">
        <w:rPr>
          <w:rFonts w:ascii="Century Gothic" w:hAnsi="Century Gothic"/>
          <w:sz w:val="24"/>
          <w:szCs w:val="24"/>
        </w:rPr>
        <w:t>ostry lub przewlekły zespół bólowy</w:t>
      </w:r>
    </w:p>
    <w:p w:rsidR="00837388" w:rsidRPr="004C62DC" w:rsidRDefault="00837388" w:rsidP="004C62DC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4C62DC">
        <w:rPr>
          <w:rFonts w:ascii="Century Gothic" w:hAnsi="Century Gothic"/>
          <w:sz w:val="24"/>
          <w:szCs w:val="24"/>
        </w:rPr>
        <w:t>zaburzenia wszystkich form czucia w zakresie unerwienia objętych chorobą struktur nerwowych osłabienie siły mięśniowej w zakresie unerwienia objętych chorobą struktur nerwowych, którym może towarzyszyć zanik mięśni</w:t>
      </w:r>
    </w:p>
    <w:p w:rsidR="00837388" w:rsidRPr="004C62DC" w:rsidRDefault="00837388" w:rsidP="004C62DC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4C62DC">
        <w:rPr>
          <w:rFonts w:ascii="Century Gothic" w:hAnsi="Century Gothic"/>
          <w:sz w:val="24"/>
          <w:szCs w:val="24"/>
        </w:rPr>
        <w:t>zaburzenia zwieraczy (trudności w kontrolowaniu oddawania moczu i/lub stolca)</w:t>
      </w:r>
    </w:p>
    <w:p w:rsidR="005D30EA" w:rsidRDefault="00837388" w:rsidP="005D30EA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D30EA">
        <w:rPr>
          <w:rFonts w:ascii="Century Gothic" w:hAnsi="Century Gothic"/>
          <w:sz w:val="24"/>
          <w:szCs w:val="24"/>
        </w:rPr>
        <w:t>zaburzenia funkcji seksualnyc</w:t>
      </w:r>
      <w:r w:rsidR="005D30EA" w:rsidRPr="005D30EA">
        <w:rPr>
          <w:rFonts w:ascii="Century Gothic" w:hAnsi="Century Gothic"/>
          <w:sz w:val="24"/>
          <w:szCs w:val="24"/>
        </w:rPr>
        <w:t>h</w:t>
      </w:r>
    </w:p>
    <w:p w:rsidR="005D30EA" w:rsidRDefault="005D30EA" w:rsidP="005D30EA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</w:p>
    <w:p w:rsidR="007E1FC7" w:rsidRDefault="005D30EA" w:rsidP="00205D14">
      <w:pPr>
        <w:autoSpaceDE w:val="0"/>
        <w:autoSpaceDN w:val="0"/>
        <w:adjustRightInd w:val="0"/>
        <w:ind w:left="-709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Odstąpienie od leczenia </w:t>
      </w:r>
      <w:r w:rsidRPr="005D30EA">
        <w:rPr>
          <w:rFonts w:ascii="Century Gothic" w:hAnsi="Century Gothic"/>
          <w:sz w:val="24"/>
          <w:szCs w:val="24"/>
        </w:rPr>
        <w:t>operacyjnego rozpoznanej u Pani/Pana choroby kręgosłupa może  powodować wystąpienie bądź też nasilenie się różnych objawów doprowadzających w efekcie do poważnego i trwałego uszczerbku na zdrowiu.</w:t>
      </w:r>
    </w:p>
    <w:p w:rsidR="007E1FC7" w:rsidRDefault="007E1FC7" w:rsidP="007E1FC7">
      <w:pPr>
        <w:autoSpaceDE w:val="0"/>
        <w:autoSpaceDN w:val="0"/>
        <w:adjustRightInd w:val="0"/>
        <w:rPr>
          <w:rFonts w:ascii="Century Gothic" w:hAnsi="Century Gothic"/>
          <w:sz w:val="24"/>
          <w:szCs w:val="24"/>
        </w:rPr>
      </w:pPr>
    </w:p>
    <w:p w:rsidR="00C90C4E" w:rsidRDefault="00C90C4E" w:rsidP="007E1FC7">
      <w:pPr>
        <w:autoSpaceDE w:val="0"/>
        <w:autoSpaceDN w:val="0"/>
        <w:adjustRightInd w:val="0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E1FC7">
        <w:rPr>
          <w:rFonts w:ascii="Century Gothic" w:hAnsi="Century Gothic"/>
          <w:b/>
          <w:sz w:val="24"/>
          <w:szCs w:val="24"/>
        </w:rPr>
        <w:lastRenderedPageBreak/>
        <w:t>PROPONOWANE ORAZ MOŻLIWE METODY DIAGNOSTYCZNE/LECZNICZE:</w:t>
      </w: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Proponowane leczenie</w:t>
      </w:r>
      <w:r w:rsidR="0002108D">
        <w:rPr>
          <w:rFonts w:ascii="Century Gothic" w:hAnsi="Century Gothic"/>
          <w:b/>
          <w:sz w:val="24"/>
          <w:szCs w:val="24"/>
        </w:rPr>
        <w:t xml:space="preserve">: </w:t>
      </w:r>
      <w:r w:rsidRPr="007E1FC7">
        <w:rPr>
          <w:rFonts w:ascii="Century Gothic" w:hAnsi="Century Gothic"/>
          <w:b/>
          <w:sz w:val="24"/>
          <w:szCs w:val="24"/>
        </w:rPr>
        <w:t>Usunię</w:t>
      </w:r>
      <w:r w:rsidR="00C6358C">
        <w:rPr>
          <w:rFonts w:ascii="Century Gothic" w:hAnsi="Century Gothic"/>
          <w:b/>
          <w:sz w:val="24"/>
          <w:szCs w:val="24"/>
        </w:rPr>
        <w:t>cie dysku międzykrę</w:t>
      </w:r>
      <w:r w:rsidRPr="007E1FC7">
        <w:rPr>
          <w:rFonts w:ascii="Century Gothic" w:hAnsi="Century Gothic"/>
          <w:b/>
          <w:sz w:val="24"/>
          <w:szCs w:val="24"/>
        </w:rPr>
        <w:t xml:space="preserve">gowego z użyciem endoskopu z dojścia </w:t>
      </w:r>
      <w:proofErr w:type="spellStart"/>
      <w:r w:rsidRPr="007E1FC7">
        <w:rPr>
          <w:rFonts w:ascii="Century Gothic" w:hAnsi="Century Gothic"/>
          <w:b/>
          <w:sz w:val="24"/>
          <w:szCs w:val="24"/>
        </w:rPr>
        <w:t>interlaminarnego</w:t>
      </w:r>
      <w:proofErr w:type="spellEnd"/>
      <w:r w:rsidRPr="007E1FC7">
        <w:rPr>
          <w:rFonts w:ascii="Century Gothic" w:hAnsi="Century Gothic"/>
          <w:b/>
          <w:sz w:val="24"/>
          <w:szCs w:val="24"/>
        </w:rPr>
        <w:t xml:space="preserve"> lub </w:t>
      </w:r>
      <w:proofErr w:type="spellStart"/>
      <w:r w:rsidRPr="007E1FC7">
        <w:rPr>
          <w:rFonts w:ascii="Century Gothic" w:hAnsi="Century Gothic"/>
          <w:b/>
          <w:sz w:val="24"/>
          <w:szCs w:val="24"/>
        </w:rPr>
        <w:t>transforaminalnego</w:t>
      </w:r>
      <w:proofErr w:type="spellEnd"/>
      <w:r w:rsidRPr="007E1FC7">
        <w:rPr>
          <w:rFonts w:ascii="Century Gothic" w:hAnsi="Century Gothic"/>
          <w:b/>
          <w:sz w:val="24"/>
          <w:szCs w:val="24"/>
        </w:rPr>
        <w:t xml:space="preserve"> </w:t>
      </w: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 xml:space="preserve">Operacja polega na nacięciu powłok w ok. lędźwiowej przyśrodkowej lub bocznie wielkości około 1 </w:t>
      </w:r>
      <w:proofErr w:type="spellStart"/>
      <w:r w:rsidRPr="007E1FC7">
        <w:rPr>
          <w:rFonts w:ascii="Century Gothic" w:hAnsi="Century Gothic"/>
          <w:sz w:val="24"/>
          <w:szCs w:val="24"/>
        </w:rPr>
        <w:t>cm</w:t>
      </w:r>
      <w:proofErr w:type="spellEnd"/>
      <w:r w:rsidRPr="007E1FC7">
        <w:rPr>
          <w:rFonts w:ascii="Century Gothic" w:hAnsi="Century Gothic"/>
          <w:sz w:val="24"/>
          <w:szCs w:val="24"/>
        </w:rPr>
        <w:t xml:space="preserve">. W następnej kolejności lekarz wprowadza drut </w:t>
      </w:r>
      <w:proofErr w:type="spellStart"/>
      <w:r w:rsidRPr="007E1FC7">
        <w:rPr>
          <w:rFonts w:ascii="Century Gothic" w:hAnsi="Century Gothic"/>
          <w:sz w:val="24"/>
          <w:szCs w:val="24"/>
        </w:rPr>
        <w:t>Kirschnera</w:t>
      </w:r>
      <w:proofErr w:type="spellEnd"/>
      <w:r w:rsidRPr="007E1FC7">
        <w:rPr>
          <w:rFonts w:ascii="Century Gothic" w:hAnsi="Century Gothic"/>
          <w:sz w:val="24"/>
          <w:szCs w:val="24"/>
        </w:rPr>
        <w:t xml:space="preserve"> lub zgłębnik, następnie endoskop  i z użyciem narzędzi endoskopowych usuwa przepuklinę dysku i </w:t>
      </w:r>
      <w:proofErr w:type="spellStart"/>
      <w:r w:rsidRPr="007E1FC7">
        <w:rPr>
          <w:rFonts w:ascii="Century Gothic" w:hAnsi="Century Gothic"/>
          <w:sz w:val="24"/>
          <w:szCs w:val="24"/>
        </w:rPr>
        <w:t>odbarcza</w:t>
      </w:r>
      <w:proofErr w:type="spellEnd"/>
      <w:r w:rsidRPr="007E1FC7">
        <w:rPr>
          <w:rFonts w:ascii="Century Gothic" w:hAnsi="Century Gothic"/>
          <w:sz w:val="24"/>
          <w:szCs w:val="24"/>
        </w:rPr>
        <w:t xml:space="preserve"> struktury nerwowe kanału kręgowego na poziomie operowanym tj. najczęściej L5s1 lub L4/L5 i L3/L4 . Uraz mięśni jest znikomy. W przypadku utrudnionego dostępu endoskopowego może istnieć konieczność konwersji na zabieg konwencjonalny i pełne dotarcie do właściwego segmentu kręgosłupa wymaga wykonania, w zależności od warunków anatomicznych, charakteru schorzenia oraz stopnia zaawansowania choroby, odmiennych postaci tzw. dostępu kostnego (fenestracja, </w:t>
      </w:r>
      <w:proofErr w:type="spellStart"/>
      <w:r w:rsidRPr="007E1FC7">
        <w:rPr>
          <w:rFonts w:ascii="Century Gothic" w:hAnsi="Century Gothic"/>
          <w:sz w:val="24"/>
          <w:szCs w:val="24"/>
        </w:rPr>
        <w:t>hemilaminektomia</w:t>
      </w:r>
      <w:proofErr w:type="spellEnd"/>
      <w:r w:rsidRPr="007E1FC7">
        <w:rPr>
          <w:rFonts w:ascii="Century Gothic" w:hAnsi="Century Gothic"/>
          <w:sz w:val="24"/>
          <w:szCs w:val="24"/>
        </w:rPr>
        <w:t xml:space="preserve">, </w:t>
      </w:r>
      <w:proofErr w:type="spellStart"/>
      <w:r w:rsidRPr="007E1FC7">
        <w:rPr>
          <w:rFonts w:ascii="Century Gothic" w:hAnsi="Century Gothic"/>
          <w:sz w:val="24"/>
          <w:szCs w:val="24"/>
        </w:rPr>
        <w:t>laminektomia</w:t>
      </w:r>
      <w:proofErr w:type="spellEnd"/>
      <w:r w:rsidRPr="007E1FC7">
        <w:rPr>
          <w:rFonts w:ascii="Century Gothic" w:hAnsi="Century Gothic"/>
          <w:sz w:val="24"/>
          <w:szCs w:val="24"/>
        </w:rPr>
        <w:t xml:space="preserve"> i inne). Chociaż przebieg zabiegu jest szczegółowo planowany przed operacją, to o ostatecznym przebiegu procedury decyduje śródoperacyjnie neurochirurg. W niektórych przypadkach operacji kręgosłupa konieczne jest zastosowanie implantów kręgosłupowych, mających na celu poprawę stabilności kręgosłupa. </w:t>
      </w: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Operację przeprowadza się w znieczuleniu ogólnym. O szczegółach i zagrożeniach związanych ze znieczuleniem poinformuje Panią/Pana lekarz anestezjolog. Po zabiegu operacyjnym wróci Pani/Pan na salę chorych.  W przypadku dolegliwości bólowych zlecone będzie miał/a Pan/Pani leki</w:t>
      </w:r>
      <w:r w:rsidR="008B755C">
        <w:rPr>
          <w:rFonts w:ascii="Century Gothic" w:hAnsi="Century Gothic"/>
          <w:sz w:val="24"/>
          <w:szCs w:val="24"/>
        </w:rPr>
        <w:t xml:space="preserve"> przeciwbólowe. </w:t>
      </w:r>
      <w:r w:rsidRPr="007E1FC7">
        <w:rPr>
          <w:rFonts w:ascii="Century Gothic" w:hAnsi="Century Gothic"/>
          <w:sz w:val="24"/>
          <w:szCs w:val="24"/>
        </w:rPr>
        <w:t xml:space="preserve">Jeżeli mimo podawanych leków odczuwać będzie Pan/Pani dolegliwości bólowe należy zgłosić to lekarzowi, a zmieni on dawki leków lub dołączy leki o silniejszym działaniu. </w:t>
      </w: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O wszystkich wiadomych państwu uczuleniach na leki lub środki medyczne należy koniecznie informować personel medyczny. Lekarz poinformuje panią/pana o możliwości opuszczenia łóżka. Procedura leczenia chirurgicznego schorzeń kręgosłupa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powikłaniami.</w:t>
      </w:r>
      <w:r w:rsidR="007E1FC7">
        <w:rPr>
          <w:rFonts w:ascii="Century Gothic" w:hAnsi="Century Gothic"/>
          <w:sz w:val="24"/>
          <w:szCs w:val="24"/>
        </w:rPr>
        <w:t xml:space="preserve"> </w:t>
      </w:r>
      <w:r w:rsidRPr="007E1FC7">
        <w:rPr>
          <w:rFonts w:ascii="Century Gothic" w:hAnsi="Century Gothic"/>
          <w:sz w:val="24"/>
          <w:szCs w:val="24"/>
        </w:rPr>
        <w:t xml:space="preserve">Lekarz poinformuje Panią/Pana o możliwości opuszczenia łóżka. </w:t>
      </w: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7E1FC7">
        <w:rPr>
          <w:rFonts w:ascii="Century Gothic" w:hAnsi="Century Gothic"/>
          <w:b/>
          <w:bCs/>
          <w:sz w:val="24"/>
          <w:szCs w:val="24"/>
        </w:rPr>
        <w:t>OPIS MOŻLIWYCH POWIKŁAŃ STANDARDOWYCH ZWIĄZANYCH Z PROPONOWANĄ PROCEDURĄ MEDYCZNĄ</w:t>
      </w:r>
    </w:p>
    <w:p w:rsidR="002A5970" w:rsidRPr="007E1FC7" w:rsidRDefault="002A5970" w:rsidP="007E1FC7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2A5970" w:rsidRPr="007E1FC7" w:rsidRDefault="002A5970" w:rsidP="00205D14">
      <w:pPr>
        <w:autoSpaceDE w:val="0"/>
        <w:autoSpaceDN w:val="0"/>
        <w:adjustRightInd w:val="0"/>
        <w:ind w:left="-567"/>
        <w:jc w:val="both"/>
        <w:rPr>
          <w:rFonts w:ascii="Century Gothic" w:hAnsi="Century Gothic"/>
          <w:b/>
          <w:bCs/>
          <w:sz w:val="24"/>
          <w:szCs w:val="24"/>
        </w:rPr>
      </w:pPr>
      <w:r w:rsidRPr="007E1FC7">
        <w:rPr>
          <w:rFonts w:ascii="Century Gothic" w:hAnsi="Century Gothic"/>
          <w:b/>
          <w:bCs/>
          <w:sz w:val="24"/>
          <w:szCs w:val="24"/>
        </w:rPr>
        <w:t>Do częściej występujących powikłań, które mogą pojawić się w trakcie operacji lub w okresie</w:t>
      </w:r>
      <w:r w:rsidR="007E1FC7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7E1FC7">
        <w:rPr>
          <w:rFonts w:ascii="Century Gothic" w:hAnsi="Century Gothic"/>
          <w:b/>
          <w:bCs/>
          <w:sz w:val="24"/>
          <w:szCs w:val="24"/>
        </w:rPr>
        <w:t>pooperacyjnym należą:</w:t>
      </w:r>
    </w:p>
    <w:p w:rsidR="002A5970" w:rsidRPr="007E1FC7" w:rsidRDefault="002A5970" w:rsidP="007E1FC7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2A5970" w:rsidRPr="007E1FC7" w:rsidRDefault="002A5970" w:rsidP="007E1FC7">
      <w:p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1. Niezamierzone otwarcie worka oponowego mogące spowodować wyciek płynu mózgowordzeniowego.</w:t>
      </w:r>
    </w:p>
    <w:p w:rsidR="002A5970" w:rsidRPr="007E1FC7" w:rsidRDefault="002A5970" w:rsidP="007E1FC7">
      <w:p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  <w:proofErr w:type="spellStart"/>
      <w:r w:rsidRPr="007E1FC7">
        <w:rPr>
          <w:rFonts w:ascii="Century Gothic" w:hAnsi="Century Gothic"/>
          <w:sz w:val="24"/>
          <w:szCs w:val="24"/>
        </w:rPr>
        <w:t>Płynotok</w:t>
      </w:r>
      <w:proofErr w:type="spellEnd"/>
      <w:r w:rsidRPr="007E1FC7">
        <w:rPr>
          <w:rFonts w:ascii="Century Gothic" w:hAnsi="Century Gothic"/>
          <w:sz w:val="24"/>
          <w:szCs w:val="24"/>
        </w:rPr>
        <w:t xml:space="preserve"> ma wpływ na przebieg gojenia się rany i może wymagać zastosowania zewnętrznego drenażu lędźwiowego lub reoperacji. Ryzyko wystąpienia niezamierzonego otwarcia worka oponowego jest</w:t>
      </w:r>
      <w:r w:rsidR="007E1FC7">
        <w:rPr>
          <w:rFonts w:ascii="Century Gothic" w:hAnsi="Century Gothic"/>
          <w:sz w:val="24"/>
          <w:szCs w:val="24"/>
        </w:rPr>
        <w:t xml:space="preserve"> </w:t>
      </w:r>
      <w:r w:rsidRPr="007E1FC7">
        <w:rPr>
          <w:rFonts w:ascii="Century Gothic" w:hAnsi="Century Gothic"/>
          <w:sz w:val="24"/>
          <w:szCs w:val="24"/>
        </w:rPr>
        <w:t>większe w grupie chorych operowanych po raz kolejny.</w:t>
      </w:r>
    </w:p>
    <w:p w:rsidR="002A5970" w:rsidRPr="007E1FC7" w:rsidRDefault="002A5970" w:rsidP="007E1FC7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7E1FC7">
      <w:p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2. Ryzyko przejściowego lub trwałego wystąpienia zaburzeń ruchowych i/lub czuciowych o charakterze zaburzeń czucia powierzchniowego, głębokiego, drętwienia oraz mrowienia wynikających z manipulacji w okolicy korzeni nerwowych.</w:t>
      </w:r>
    </w:p>
    <w:p w:rsidR="002A5970" w:rsidRPr="007E1FC7" w:rsidRDefault="002A5970" w:rsidP="007E1FC7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7E1FC7">
      <w:p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 xml:space="preserve">3. Nawrotowa dyskopatia na poziomie operowanym lub wytworzenie się blizny łącznotkankowej w miejscu przeprowadzonej operacji mogące spowodować nawrót dolegliwości, bólowych i/lub wystąpienie/nasilenie się objawów neurologicznych. Zarówno nawrotowa dyskopatia jak i blizna </w:t>
      </w:r>
      <w:r w:rsidR="007E1FC7">
        <w:rPr>
          <w:rFonts w:ascii="Century Gothic" w:hAnsi="Century Gothic"/>
          <w:sz w:val="24"/>
          <w:szCs w:val="24"/>
        </w:rPr>
        <w:t xml:space="preserve"> </w:t>
      </w:r>
      <w:r w:rsidRPr="007E1FC7">
        <w:rPr>
          <w:rFonts w:ascii="Century Gothic" w:hAnsi="Century Gothic"/>
          <w:sz w:val="24"/>
          <w:szCs w:val="24"/>
        </w:rPr>
        <w:t>w miejscu przeprowadzonej operacji może wymagać ponownej operacji.</w:t>
      </w:r>
    </w:p>
    <w:p w:rsidR="002A5970" w:rsidRPr="007E1FC7" w:rsidRDefault="001A01D8" w:rsidP="007E1FC7">
      <w:p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4</w:t>
      </w:r>
      <w:r w:rsidR="002A5970" w:rsidRPr="007E1FC7">
        <w:rPr>
          <w:rFonts w:ascii="Century Gothic" w:hAnsi="Century Gothic"/>
          <w:sz w:val="24"/>
          <w:szCs w:val="24"/>
        </w:rPr>
        <w:t>. W przypadku niestabilności na poziomie operowanym konieczne jest zaimplantowanie stabilizatora międzykolcowego.</w:t>
      </w:r>
    </w:p>
    <w:p w:rsidR="002A5970" w:rsidRPr="007E1FC7" w:rsidRDefault="001A01D8" w:rsidP="007E1FC7">
      <w:p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5</w:t>
      </w:r>
      <w:r w:rsidR="002A5970" w:rsidRPr="007E1FC7">
        <w:rPr>
          <w:rFonts w:ascii="Century Gothic" w:hAnsi="Century Gothic"/>
          <w:sz w:val="24"/>
          <w:szCs w:val="24"/>
        </w:rPr>
        <w:t>. Infekcje:</w:t>
      </w:r>
    </w:p>
    <w:p w:rsidR="002A5970" w:rsidRPr="007E1FC7" w:rsidRDefault="002A5970" w:rsidP="007E1FC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powierzchowne infekcje, powodujące przedłużone gojenie się rany, mogące wymagać stosowania</w:t>
      </w:r>
      <w:r w:rsidR="007E1FC7">
        <w:rPr>
          <w:rFonts w:ascii="Century Gothic" w:hAnsi="Century Gothic"/>
          <w:sz w:val="24"/>
          <w:szCs w:val="24"/>
        </w:rPr>
        <w:t xml:space="preserve"> </w:t>
      </w:r>
      <w:r w:rsidRPr="007E1FC7">
        <w:rPr>
          <w:rFonts w:ascii="Century Gothic" w:hAnsi="Century Gothic"/>
          <w:sz w:val="24"/>
          <w:szCs w:val="24"/>
        </w:rPr>
        <w:t>miejscowego lub ogólnego antybiotyków. W niektórych przypadkach także rewizji rany. Zwiększone ryzyko infekcji występuje u osób starszych, otyłych, chorujących na cukrzycę, przyjmujących przewlekle leki sterydowe)</w:t>
      </w:r>
    </w:p>
    <w:p w:rsidR="002A5970" w:rsidRPr="007E1FC7" w:rsidRDefault="002A5970" w:rsidP="007E1FC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 xml:space="preserve">infekcje głębokie- występują rzadziej, a obejmują m.in. przestrzeń międzykręgową (tzw. </w:t>
      </w:r>
      <w:proofErr w:type="spellStart"/>
      <w:r w:rsidRPr="007E1FC7">
        <w:rPr>
          <w:rFonts w:ascii="Century Gothic" w:hAnsi="Century Gothic"/>
          <w:sz w:val="24"/>
          <w:szCs w:val="24"/>
        </w:rPr>
        <w:t>discitis</w:t>
      </w:r>
      <w:proofErr w:type="spellEnd"/>
      <w:r w:rsidRPr="007E1FC7">
        <w:rPr>
          <w:rFonts w:ascii="Century Gothic" w:hAnsi="Century Gothic"/>
          <w:sz w:val="24"/>
          <w:szCs w:val="24"/>
        </w:rPr>
        <w:t>), ropień nadtwardówkowy, zapalenie opon mózgowo-rdzeniowych.</w:t>
      </w:r>
    </w:p>
    <w:p w:rsidR="002A5970" w:rsidRDefault="002A5970" w:rsidP="007E1FC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infekcje uogólnione- np. zapalenie płuc, infekcje dróg moczowych lub uogólnione zakażenie krwi.</w:t>
      </w:r>
    </w:p>
    <w:p w:rsidR="001A01D8" w:rsidRPr="007E1FC7" w:rsidRDefault="001A01D8" w:rsidP="001A01D8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Zwiększone ryzyko infekcji występuje m.in. u osób starszych, otyłych, chorujących na cukrzycę, uogólnioną chorobę nowotworową, przyjmujących przewlekle leki sterydowe, długotrwale przebywających w pozycji leżącej, z założonym cewnikiem w drogach moczowych czy też z wkłuciem centralnym.</w:t>
      </w:r>
    </w:p>
    <w:p w:rsidR="002A5970" w:rsidRPr="007E1FC7" w:rsidRDefault="002A5970" w:rsidP="007E1FC7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7E1FC7">
      <w:p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7E1FC7">
        <w:rPr>
          <w:rFonts w:ascii="Century Gothic" w:hAnsi="Century Gothic"/>
          <w:b/>
          <w:bCs/>
          <w:sz w:val="24"/>
          <w:szCs w:val="24"/>
        </w:rPr>
        <w:lastRenderedPageBreak/>
        <w:t>Do rzadziej występujących powikłań, które mogą wystąpić w trakcie operacji lub w okresie</w:t>
      </w:r>
      <w:r w:rsidR="007E1FC7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7E1FC7">
        <w:rPr>
          <w:rFonts w:ascii="Century Gothic" w:hAnsi="Century Gothic"/>
          <w:b/>
          <w:bCs/>
          <w:sz w:val="24"/>
          <w:szCs w:val="24"/>
        </w:rPr>
        <w:t>pooperacyjnym należą:</w:t>
      </w:r>
    </w:p>
    <w:p w:rsidR="002A5970" w:rsidRPr="007E1FC7" w:rsidRDefault="002A5970" w:rsidP="007E1FC7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2A5970" w:rsidRPr="007E1FC7" w:rsidRDefault="002A5970" w:rsidP="007E1FC7">
      <w:p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1. Bezpośrednie uszkodzenie struktur nerwowych.</w:t>
      </w:r>
    </w:p>
    <w:p w:rsidR="002A5970" w:rsidRPr="007E1FC7" w:rsidRDefault="002A5970" w:rsidP="007E1FC7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7E1FC7">
      <w:p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2. Uszkodzenie struktur anatomicznych leżących w sąsiedztwie operowanego obszaru kręgosłupa</w:t>
      </w:r>
      <w:r w:rsidR="007E1FC7">
        <w:rPr>
          <w:rFonts w:ascii="Century Gothic" w:hAnsi="Century Gothic"/>
          <w:sz w:val="24"/>
          <w:szCs w:val="24"/>
        </w:rPr>
        <w:t xml:space="preserve"> </w:t>
      </w:r>
      <w:r w:rsidRPr="007E1FC7">
        <w:rPr>
          <w:rFonts w:ascii="Century Gothic" w:hAnsi="Century Gothic"/>
          <w:sz w:val="24"/>
          <w:szCs w:val="24"/>
        </w:rPr>
        <w:t>obejmujące m.in. duże naczynia krwionośne (tętnice, żyły), których uszkodzenie może spowodować masywny krwotok. Leczenie tego powikłania wymagać może interwencji chirurgicznej i/lub transfuzji krwi.</w:t>
      </w:r>
    </w:p>
    <w:p w:rsidR="002A5970" w:rsidRPr="007E1FC7" w:rsidRDefault="002A5970" w:rsidP="007E1FC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moczowody, pęcherz moczowy lub inne struktury jamy brzusznej</w:t>
      </w:r>
    </w:p>
    <w:p w:rsidR="002A5970" w:rsidRPr="007E1FC7" w:rsidRDefault="002A5970" w:rsidP="007E1FC7">
      <w:pPr>
        <w:autoSpaceDE w:val="0"/>
        <w:autoSpaceDN w:val="0"/>
        <w:adjustRightInd w:val="0"/>
        <w:spacing w:line="120" w:lineRule="auto"/>
        <w:ind w:left="357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7E1FC7">
      <w:p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3. Zakrzepica żył głębokich mogąca spowodować zatorowość płucną.</w:t>
      </w:r>
    </w:p>
    <w:p w:rsidR="002A5970" w:rsidRPr="007E1FC7" w:rsidRDefault="002A5970" w:rsidP="007E1FC7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7E1FC7">
      <w:p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4. Zbyt duże i przeszkadzające blizny, które mogą powstawać w przypadku skłonności osobniczych</w:t>
      </w:r>
      <w:r w:rsidR="007E1FC7">
        <w:rPr>
          <w:rFonts w:ascii="Century Gothic" w:hAnsi="Century Gothic"/>
          <w:sz w:val="24"/>
          <w:szCs w:val="24"/>
        </w:rPr>
        <w:t xml:space="preserve"> </w:t>
      </w:r>
      <w:r w:rsidRPr="007E1FC7">
        <w:rPr>
          <w:rFonts w:ascii="Century Gothic" w:hAnsi="Century Gothic"/>
          <w:sz w:val="24"/>
          <w:szCs w:val="24"/>
        </w:rPr>
        <w:t>lub komplikacji w procesie gojenia</w:t>
      </w:r>
    </w:p>
    <w:p w:rsidR="002A5970" w:rsidRPr="007E1FC7" w:rsidRDefault="002A5970" w:rsidP="007E1FC7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</w:t>
      </w:r>
      <w:r w:rsidRPr="007E1FC7">
        <w:rPr>
          <w:rFonts w:ascii="Century Gothic" w:hAnsi="Century Gothic"/>
          <w:sz w:val="24"/>
          <w:szCs w:val="24"/>
        </w:rPr>
        <w:tab/>
      </w:r>
      <w:r w:rsidRPr="007E1FC7">
        <w:rPr>
          <w:rFonts w:ascii="Century Gothic" w:hAnsi="Century Gothic"/>
          <w:sz w:val="24"/>
          <w:szCs w:val="24"/>
        </w:rPr>
        <w:tab/>
      </w:r>
      <w:r w:rsidRPr="007E1FC7">
        <w:rPr>
          <w:rFonts w:ascii="Century Gothic" w:hAnsi="Century Gothic"/>
          <w:sz w:val="24"/>
          <w:szCs w:val="24"/>
        </w:rPr>
        <w:tab/>
      </w: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2A5970" w:rsidRPr="007E1FC7" w:rsidRDefault="002A5970" w:rsidP="007E1FC7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7E1FC7">
        <w:rPr>
          <w:rFonts w:ascii="Century Gothic" w:hAnsi="Century Gothic"/>
          <w:b/>
          <w:bCs/>
          <w:sz w:val="24"/>
          <w:szCs w:val="24"/>
        </w:rPr>
        <w:t>Większość wymienionych powikłań może wymagać dalszych operacji lub leczenia, może być</w:t>
      </w:r>
      <w:r w:rsidR="007E1FC7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7E1FC7">
        <w:rPr>
          <w:rFonts w:ascii="Century Gothic" w:hAnsi="Century Gothic"/>
          <w:b/>
          <w:bCs/>
          <w:sz w:val="24"/>
          <w:szCs w:val="24"/>
        </w:rPr>
        <w:t>przyczyną trwałego uszczerbku na zdrowiu lub śmierci.</w:t>
      </w:r>
    </w:p>
    <w:p w:rsidR="002A5970" w:rsidRPr="007E1FC7" w:rsidRDefault="002A5970" w:rsidP="00205D14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2A5970" w:rsidRPr="007E1FC7" w:rsidRDefault="002A5970" w:rsidP="00205D1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W Klinice Neurochirurgii ryzyko zakażenia wynosi poniżej  3% hospitalizowanych pacjentów.</w:t>
      </w:r>
    </w:p>
    <w:p w:rsidR="002A5970" w:rsidRPr="007E1FC7" w:rsidRDefault="002A5970" w:rsidP="00205D14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205D1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b/>
          <w:sz w:val="24"/>
          <w:szCs w:val="24"/>
        </w:rPr>
        <w:t xml:space="preserve">INNE METODY LECZENIA: </w:t>
      </w:r>
      <w:r w:rsidRPr="007E1FC7">
        <w:rPr>
          <w:rFonts w:ascii="Century Gothic" w:hAnsi="Century Gothic"/>
          <w:sz w:val="24"/>
          <w:szCs w:val="24"/>
        </w:rPr>
        <w:t xml:space="preserve">Do alternatywnych metod leczenia zabiegowego </w:t>
      </w:r>
      <w:bookmarkStart w:id="0" w:name="_GoBack"/>
      <w:bookmarkEnd w:id="0"/>
      <w:r w:rsidRPr="007E1FC7">
        <w:rPr>
          <w:rFonts w:ascii="Century Gothic" w:hAnsi="Century Gothic"/>
          <w:sz w:val="24"/>
          <w:szCs w:val="24"/>
        </w:rPr>
        <w:t xml:space="preserve">zaliczyć należy klasyczne, mikrochirurgiczne usunięcie dysku z użyciem mikroskopu śródoperacyjnego. </w:t>
      </w:r>
    </w:p>
    <w:p w:rsidR="002A5970" w:rsidRPr="007E1FC7" w:rsidRDefault="002A5970" w:rsidP="00205D1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lastRenderedPageBreak/>
        <w:t xml:space="preserve">W grupie metod nieoperacyjnych jest rehabilitacja, fizykoterapia, ćwiczenia. </w:t>
      </w:r>
    </w:p>
    <w:p w:rsidR="002A5970" w:rsidRPr="007E1FC7" w:rsidRDefault="002A5970" w:rsidP="00205D1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205D14">
      <w:pPr>
        <w:pStyle w:val="Nagwek11"/>
        <w:spacing w:line="360" w:lineRule="auto"/>
        <w:ind w:left="-709"/>
        <w:jc w:val="both"/>
        <w:rPr>
          <w:rFonts w:ascii="Century Gothic" w:hAnsi="Century Gothic"/>
          <w:b w:val="0"/>
          <w:sz w:val="24"/>
          <w:szCs w:val="24"/>
        </w:rPr>
      </w:pPr>
      <w:r w:rsidRPr="007E1FC7">
        <w:rPr>
          <w:rFonts w:ascii="Century Gothic" w:hAnsi="Century Gothic"/>
          <w:b w:val="0"/>
          <w:sz w:val="24"/>
          <w:szCs w:val="24"/>
        </w:rPr>
        <w:t>Opis zwiększonego ryzyka określonych powikłań w związku ze stanem zdrowia pacjenta (</w:t>
      </w:r>
      <w:r w:rsidRPr="007E1FC7">
        <w:rPr>
          <w:rFonts w:ascii="Century Gothic" w:hAnsi="Century Gothic"/>
          <w:b w:val="0"/>
          <w:i/>
          <w:sz w:val="24"/>
          <w:szCs w:val="24"/>
        </w:rPr>
        <w:t>wypełnia lekarz oddziału</w:t>
      </w:r>
      <w:r w:rsidRPr="007E1FC7">
        <w:rPr>
          <w:rFonts w:ascii="Century Gothic" w:hAnsi="Century Gothic"/>
          <w:b w:val="0"/>
          <w:sz w:val="24"/>
          <w:szCs w:val="24"/>
        </w:rPr>
        <w:t>)</w:t>
      </w:r>
      <w:r w:rsidRPr="007E1FC7">
        <w:rPr>
          <w:rFonts w:ascii="Century Gothic" w:hAnsi="Century Gothic"/>
          <w:sz w:val="24"/>
          <w:szCs w:val="24"/>
        </w:rPr>
        <w:t>: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........................................................................................................................................................</w:t>
      </w:r>
      <w:r w:rsidR="007E1FC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205D14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ROKOWANIE: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7E1FC7">
        <w:rPr>
          <w:rFonts w:ascii="Century Gothic" w:hAnsi="Century Gothic"/>
          <w:b/>
          <w:sz w:val="24"/>
          <w:szCs w:val="24"/>
        </w:rPr>
        <w:t>: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E1FC7">
        <w:rPr>
          <w:rFonts w:ascii="Century Gothic" w:hAnsi="Century Gothic"/>
          <w:b/>
          <w:sz w:val="24"/>
          <w:szCs w:val="24"/>
        </w:rPr>
        <w:t xml:space="preserve">[   ] </w:t>
      </w:r>
      <w:r w:rsidRPr="007E1FC7">
        <w:rPr>
          <w:rFonts w:ascii="Century Gothic" w:hAnsi="Century Gothic"/>
          <w:b/>
          <w:i/>
          <w:sz w:val="24"/>
          <w:szCs w:val="24"/>
        </w:rPr>
        <w:t xml:space="preserve">duże </w:t>
      </w:r>
      <w:r w:rsidR="007E1FC7">
        <w:rPr>
          <w:rFonts w:ascii="Century Gothic" w:hAnsi="Century Gothic"/>
          <w:b/>
          <w:i/>
          <w:sz w:val="24"/>
          <w:szCs w:val="24"/>
        </w:rPr>
        <w:t xml:space="preserve">                       </w:t>
      </w:r>
      <w:r w:rsidRPr="007E1FC7">
        <w:rPr>
          <w:rFonts w:ascii="Century Gothic" w:hAnsi="Century Gothic"/>
          <w:b/>
          <w:i/>
          <w:sz w:val="24"/>
          <w:szCs w:val="24"/>
        </w:rPr>
        <w:tab/>
      </w:r>
      <w:r w:rsidRPr="007E1FC7">
        <w:rPr>
          <w:rFonts w:ascii="Century Gothic" w:hAnsi="Century Gothic"/>
          <w:b/>
          <w:sz w:val="24"/>
          <w:szCs w:val="24"/>
        </w:rPr>
        <w:t xml:space="preserve">[   ] </w:t>
      </w:r>
      <w:r w:rsidR="007E1FC7">
        <w:rPr>
          <w:rFonts w:ascii="Century Gothic" w:hAnsi="Century Gothic"/>
          <w:b/>
          <w:i/>
          <w:sz w:val="24"/>
          <w:szCs w:val="24"/>
        </w:rPr>
        <w:t xml:space="preserve">średnie              </w:t>
      </w:r>
      <w:r w:rsidRPr="007E1FC7">
        <w:rPr>
          <w:rFonts w:ascii="Century Gothic" w:hAnsi="Century Gothic"/>
          <w:b/>
          <w:i/>
          <w:sz w:val="24"/>
          <w:szCs w:val="24"/>
        </w:rPr>
        <w:tab/>
      </w:r>
      <w:r w:rsidRPr="007E1FC7">
        <w:rPr>
          <w:rFonts w:ascii="Century Gothic" w:hAnsi="Century Gothic"/>
          <w:b/>
          <w:i/>
          <w:sz w:val="24"/>
          <w:szCs w:val="24"/>
        </w:rPr>
        <w:tab/>
      </w:r>
      <w:r w:rsidRPr="007E1FC7">
        <w:rPr>
          <w:rFonts w:ascii="Century Gothic" w:hAnsi="Century Gothic"/>
          <w:b/>
          <w:sz w:val="24"/>
          <w:szCs w:val="24"/>
        </w:rPr>
        <w:t xml:space="preserve">[   ] </w:t>
      </w:r>
      <w:r w:rsidRPr="007E1FC7">
        <w:rPr>
          <w:rFonts w:ascii="Century Gothic" w:hAnsi="Century Gothic"/>
          <w:b/>
          <w:i/>
          <w:sz w:val="24"/>
          <w:szCs w:val="24"/>
        </w:rPr>
        <w:t>ograniczone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205D14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KONSEKWENCJE ZANIECHANIA LECZENIA: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 xml:space="preserve">Wskazania do proponowanej operacji poparte są stopniem zaawansowania choroby i/lub brakiem skuteczności zastosowanych alternatywnych metod leczenia. Odroczenie leczenia operacyjnego może doprowadzić do pogorszenia sprawności i nasilenia dolegliwości bólowych oraz deficytów neurologicznych 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205D14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KONIECZNOŚĆ ZMIANY/ROZSZERZENIA ZABIEGU OPERACYJNEGO WYSTĘPUJĄCA PODCZAS JEGO TRWANIA: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7E1FC7">
        <w:rPr>
          <w:rFonts w:ascii="Century Gothic" w:eastAsia="ArialMT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7E1FC7">
        <w:rPr>
          <w:rFonts w:ascii="Century Gothic" w:eastAsia="ArialMT" w:hAnsi="Century Gothic"/>
          <w:sz w:val="24"/>
          <w:szCs w:val="24"/>
        </w:rPr>
        <w:lastRenderedPageBreak/>
        <w:t>Przy braku Pani/Pana zgody zabieg operacyjny musiałby zostać przerwany, następnie powtórzony w terminie późniejszym, co stanowiłoby dodatkowe obciążenie dla Pani/Pana zdrowia. W przypadku szczególnego rodzaju zagrożeń, należy się liczyć z możliwością podjęcia radykalnych metod leczenia mających na celu ratowanie zdrowia i życia. Prosimy o wyrażenie zgody także i na tę okoliczność.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E1FC7">
        <w:rPr>
          <w:rFonts w:ascii="Century Gothic" w:hAnsi="Century Gothic"/>
          <w:b/>
          <w:sz w:val="24"/>
          <w:szCs w:val="24"/>
        </w:rPr>
        <w:t>REKONWALESCENCJA: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7E1FC7">
        <w:rPr>
          <w:rFonts w:ascii="Century Gothic" w:eastAsia="ArialMT" w:hAnsi="Century Gothic"/>
          <w:sz w:val="24"/>
          <w:szCs w:val="24"/>
        </w:rPr>
        <w:t>Uruchomienie, oraz  powrót do codziennej  aktywności możliwy jest w ciągu kilku dni .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7E1FC7">
        <w:rPr>
          <w:rFonts w:ascii="Century Gothic" w:eastAsia="ArialMT" w:hAnsi="Century Gothic"/>
          <w:sz w:val="24"/>
          <w:szCs w:val="24"/>
        </w:rPr>
        <w:t>Standardowo pierwsza kontrola po operacji następuje w Poradni Neurochirurgicznej do 30 dni po wypisie ze szpitala. Kolejna po 3 miesiącach i ostatnia po roku od operacji. Dla właściwej kontroli procesu leczenia należy przestrzegać terminów wizyt i bezwzględnie stosować do zaleceń lekarskich.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205D14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PYTANIA PACJENTA: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........................................................................................................................................................</w:t>
      </w:r>
      <w:r w:rsidR="007E1FC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205D14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OŚWIADCZENIE PACJENTA: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2A5970" w:rsidRPr="007E1FC7" w:rsidRDefault="002A5970" w:rsidP="007E1FC7">
      <w:pPr>
        <w:spacing w:line="360" w:lineRule="auto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 xml:space="preserve">Po zapoznaniu się z treścią tego formularza i rozmowie wyjaśniającej z Panią/Panem 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lastRenderedPageBreak/>
        <w:t>dr…………………................................................, spełnione zostały wszelkie moje wymagania co do informacji na temat: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2A5970" w:rsidRPr="007E1FC7" w:rsidRDefault="002A5970" w:rsidP="00205D14">
      <w:pPr>
        <w:pStyle w:val="Bezodstpw"/>
        <w:numPr>
          <w:ilvl w:val="0"/>
          <w:numId w:val="8"/>
        </w:numPr>
        <w:spacing w:line="36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rozpoznania</w:t>
      </w:r>
    </w:p>
    <w:p w:rsidR="002A5970" w:rsidRPr="007E1FC7" w:rsidRDefault="002A5970" w:rsidP="00205D14">
      <w:pPr>
        <w:pStyle w:val="Bezodstpw"/>
        <w:numPr>
          <w:ilvl w:val="0"/>
          <w:numId w:val="8"/>
        </w:numPr>
        <w:spacing w:line="36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proponowanych oraz alternatywnych metod diagnostycznych i leczniczych</w:t>
      </w:r>
    </w:p>
    <w:p w:rsidR="002A5970" w:rsidRPr="007E1FC7" w:rsidRDefault="002A5970" w:rsidP="00205D14">
      <w:pPr>
        <w:pStyle w:val="Bezodstpw"/>
        <w:numPr>
          <w:ilvl w:val="0"/>
          <w:numId w:val="8"/>
        </w:numPr>
        <w:spacing w:line="36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dających się przewidzieć następstw zastosowania tych metod lub ich zaniechania</w:t>
      </w:r>
    </w:p>
    <w:p w:rsidR="002A5970" w:rsidRPr="007E1FC7" w:rsidRDefault="002A5970" w:rsidP="00205D14">
      <w:pPr>
        <w:pStyle w:val="Bezodstpw"/>
        <w:numPr>
          <w:ilvl w:val="0"/>
          <w:numId w:val="8"/>
        </w:numPr>
        <w:spacing w:line="36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wyników leczenia operacyjnego</w:t>
      </w:r>
    </w:p>
    <w:p w:rsidR="002A5970" w:rsidRPr="007E1FC7" w:rsidRDefault="002A5970" w:rsidP="00205D14">
      <w:pPr>
        <w:pStyle w:val="Bezodstpw"/>
        <w:numPr>
          <w:ilvl w:val="0"/>
          <w:numId w:val="8"/>
        </w:numPr>
        <w:spacing w:line="36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rokowania</w:t>
      </w:r>
    </w:p>
    <w:p w:rsidR="002A5970" w:rsidRPr="007E1FC7" w:rsidRDefault="002A5970" w:rsidP="00205D14">
      <w:pPr>
        <w:pStyle w:val="Akapitzlist"/>
        <w:numPr>
          <w:ilvl w:val="0"/>
          <w:numId w:val="9"/>
        </w:numPr>
        <w:suppressAutoHyphens/>
        <w:spacing w:after="120" w:line="36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ewentualnego leczenia pooperacyjnego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Znane mi są możliwe powikłania związane z tym zabiegiem operacyjnym.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Bez zastrzeżeń zgadzam się na przeprowadzenie u mnie opisanej procedury medycznej.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2A5970" w:rsidRPr="007E1FC7" w:rsidRDefault="002A5970" w:rsidP="00205D14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UWAGI LEKARZA</w:t>
      </w:r>
    </w:p>
    <w:p w:rsidR="002A5970" w:rsidRPr="007E1FC7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</w:t>
      </w:r>
    </w:p>
    <w:p w:rsidR="002A5970" w:rsidRPr="00D331AF" w:rsidRDefault="002A5970" w:rsidP="00205D14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</w:t>
      </w:r>
    </w:p>
    <w:p w:rsidR="002A5970" w:rsidRPr="007E1FC7" w:rsidRDefault="002A5970" w:rsidP="00205D14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E1FC7">
        <w:rPr>
          <w:rFonts w:ascii="Century Gothic" w:hAnsi="Century Gothic"/>
          <w:b/>
          <w:sz w:val="24"/>
          <w:szCs w:val="24"/>
        </w:rPr>
        <w:t>PODPIS PACJENTA I LEKARZA</w:t>
      </w:r>
    </w:p>
    <w:tbl>
      <w:tblPr>
        <w:tblW w:w="10208" w:type="dxa"/>
        <w:jc w:val="center"/>
        <w:tblLook w:val="01E0"/>
      </w:tblPr>
      <w:tblGrid>
        <w:gridCol w:w="3828"/>
        <w:gridCol w:w="6380"/>
      </w:tblGrid>
      <w:tr w:rsidR="002A5970" w:rsidRPr="007E1FC7" w:rsidTr="00D331AF">
        <w:trPr>
          <w:trHeight w:val="727"/>
          <w:jc w:val="center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5970" w:rsidRPr="007E1FC7" w:rsidRDefault="002A5970" w:rsidP="007E1FC7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7E1FC7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970" w:rsidRPr="007E1FC7" w:rsidRDefault="002A5970" w:rsidP="007E1FC7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A5970" w:rsidRPr="007E1FC7" w:rsidTr="00D331AF">
        <w:trPr>
          <w:trHeight w:val="727"/>
          <w:jc w:val="center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5970" w:rsidRPr="007E1FC7" w:rsidRDefault="002A5970" w:rsidP="007E1FC7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7E1FC7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970" w:rsidRPr="007E1FC7" w:rsidRDefault="002A5970" w:rsidP="007E1FC7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D331AF" w:rsidRDefault="00D331AF" w:rsidP="007E1FC7">
      <w:pPr>
        <w:tabs>
          <w:tab w:val="left" w:pos="-284"/>
        </w:tabs>
        <w:spacing w:line="360" w:lineRule="auto"/>
        <w:jc w:val="both"/>
        <w:rPr>
          <w:rFonts w:ascii="Century Gothic" w:hAnsi="Century Gothic"/>
          <w:b/>
          <w:sz w:val="24"/>
          <w:szCs w:val="24"/>
        </w:rPr>
      </w:pPr>
    </w:p>
    <w:p w:rsidR="00205D14" w:rsidRDefault="00205D14" w:rsidP="007E1FC7">
      <w:pPr>
        <w:tabs>
          <w:tab w:val="left" w:pos="-284"/>
        </w:tabs>
        <w:spacing w:line="360" w:lineRule="auto"/>
        <w:jc w:val="both"/>
        <w:rPr>
          <w:rFonts w:ascii="Century Gothic" w:hAnsi="Century Gothic"/>
          <w:b/>
          <w:sz w:val="24"/>
          <w:szCs w:val="24"/>
        </w:rPr>
      </w:pPr>
    </w:p>
    <w:p w:rsidR="002A5970" w:rsidRPr="007E1FC7" w:rsidRDefault="002A5970" w:rsidP="00205D14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E1FC7">
        <w:rPr>
          <w:rFonts w:ascii="Century Gothic" w:hAnsi="Century Gothic"/>
          <w:b/>
          <w:sz w:val="24"/>
          <w:szCs w:val="24"/>
        </w:rPr>
        <w:lastRenderedPageBreak/>
        <w:t>SPRZECIW PACJENTA</w:t>
      </w:r>
    </w:p>
    <w:p w:rsidR="002A5970" w:rsidRPr="007E1FC7" w:rsidRDefault="002A5970" w:rsidP="00205D14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E1FC7">
        <w:rPr>
          <w:rFonts w:ascii="Century Gothic" w:hAnsi="Century Gothic"/>
          <w:b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tbl>
      <w:tblPr>
        <w:tblW w:w="10208" w:type="dxa"/>
        <w:jc w:val="center"/>
        <w:tblLook w:val="01E0"/>
      </w:tblPr>
      <w:tblGrid>
        <w:gridCol w:w="3828"/>
        <w:gridCol w:w="6380"/>
      </w:tblGrid>
      <w:tr w:rsidR="002A5970" w:rsidRPr="007E1FC7" w:rsidTr="00D331AF">
        <w:trPr>
          <w:trHeight w:val="727"/>
          <w:jc w:val="center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5970" w:rsidRPr="007E1FC7" w:rsidRDefault="002A5970" w:rsidP="00255DFB">
            <w:pPr>
              <w:pStyle w:val="Bezodstpw"/>
              <w:spacing w:line="360" w:lineRule="auto"/>
              <w:ind w:left="-108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7E1FC7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970" w:rsidRPr="007E1FC7" w:rsidRDefault="002A5970" w:rsidP="007E1FC7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A5970" w:rsidRPr="007E1FC7" w:rsidTr="00D331AF">
        <w:trPr>
          <w:trHeight w:val="727"/>
          <w:jc w:val="center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5970" w:rsidRPr="007E1FC7" w:rsidRDefault="002A5970" w:rsidP="00255DFB">
            <w:pPr>
              <w:pStyle w:val="Bezodstpw"/>
              <w:spacing w:line="360" w:lineRule="auto"/>
              <w:ind w:left="-108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7E1FC7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970" w:rsidRPr="007E1FC7" w:rsidRDefault="002A5970" w:rsidP="007E1FC7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2A5970" w:rsidRPr="007E1FC7" w:rsidRDefault="002A5970" w:rsidP="007E1FC7">
      <w:pPr>
        <w:tabs>
          <w:tab w:val="left" w:pos="-284"/>
        </w:tabs>
        <w:spacing w:line="360" w:lineRule="auto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ab/>
      </w:r>
      <w:r w:rsidRPr="007E1FC7">
        <w:rPr>
          <w:rFonts w:ascii="Century Gothic" w:hAnsi="Century Gothic"/>
          <w:sz w:val="24"/>
          <w:szCs w:val="24"/>
        </w:rPr>
        <w:tab/>
      </w:r>
      <w:r w:rsidRPr="007E1FC7">
        <w:rPr>
          <w:rFonts w:ascii="Century Gothic" w:hAnsi="Century Gothic"/>
          <w:sz w:val="24"/>
          <w:szCs w:val="24"/>
        </w:rPr>
        <w:tab/>
      </w:r>
      <w:r w:rsidRPr="007E1FC7">
        <w:rPr>
          <w:rFonts w:ascii="Century Gothic" w:hAnsi="Century Gothic"/>
          <w:sz w:val="24"/>
          <w:szCs w:val="24"/>
        </w:rPr>
        <w:tab/>
      </w:r>
    </w:p>
    <w:p w:rsidR="002A5970" w:rsidRPr="007E1FC7" w:rsidRDefault="002A5970" w:rsidP="007E1FC7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</w:p>
    <w:sectPr w:rsidR="002A5970" w:rsidRPr="007E1FC7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2FB" w:rsidRDefault="00AE32FB" w:rsidP="00E637FA">
      <w:pPr>
        <w:spacing w:after="0" w:line="240" w:lineRule="auto"/>
      </w:pPr>
      <w:r>
        <w:separator/>
      </w:r>
    </w:p>
  </w:endnote>
  <w:endnote w:type="continuationSeparator" w:id="0">
    <w:p w:rsidR="00AE32FB" w:rsidRDefault="00AE32FB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charset w:val="EE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2FB" w:rsidRDefault="00AE32FB" w:rsidP="00E637FA">
      <w:pPr>
        <w:spacing w:after="0" w:line="240" w:lineRule="auto"/>
      </w:pPr>
      <w:r>
        <w:separator/>
      </w:r>
    </w:p>
  </w:footnote>
  <w:footnote w:type="continuationSeparator" w:id="0">
    <w:p w:rsidR="00AE32FB" w:rsidRDefault="00AE32FB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559E252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2108D"/>
    <w:rsid w:val="00036DFD"/>
    <w:rsid w:val="00055FAB"/>
    <w:rsid w:val="00063262"/>
    <w:rsid w:val="000A79DF"/>
    <w:rsid w:val="00110090"/>
    <w:rsid w:val="00144E21"/>
    <w:rsid w:val="0019682E"/>
    <w:rsid w:val="001A01D8"/>
    <w:rsid w:val="001A2B64"/>
    <w:rsid w:val="001B166D"/>
    <w:rsid w:val="001E7E25"/>
    <w:rsid w:val="001F6D8E"/>
    <w:rsid w:val="00205D14"/>
    <w:rsid w:val="00234411"/>
    <w:rsid w:val="00255DFB"/>
    <w:rsid w:val="0029212C"/>
    <w:rsid w:val="002A5970"/>
    <w:rsid w:val="002F4BAB"/>
    <w:rsid w:val="00326EDE"/>
    <w:rsid w:val="00332339"/>
    <w:rsid w:val="003E7AFF"/>
    <w:rsid w:val="00424D4A"/>
    <w:rsid w:val="004627FD"/>
    <w:rsid w:val="0046603A"/>
    <w:rsid w:val="00494B59"/>
    <w:rsid w:val="00497B11"/>
    <w:rsid w:val="004A72F0"/>
    <w:rsid w:val="004C62DC"/>
    <w:rsid w:val="004D0B1E"/>
    <w:rsid w:val="00504CFC"/>
    <w:rsid w:val="0055171D"/>
    <w:rsid w:val="00553DA8"/>
    <w:rsid w:val="005A5F2B"/>
    <w:rsid w:val="005B2FFA"/>
    <w:rsid w:val="005B7D22"/>
    <w:rsid w:val="005D30EA"/>
    <w:rsid w:val="00612639"/>
    <w:rsid w:val="0069259E"/>
    <w:rsid w:val="006C434C"/>
    <w:rsid w:val="006E2796"/>
    <w:rsid w:val="006E3460"/>
    <w:rsid w:val="007015E6"/>
    <w:rsid w:val="00735429"/>
    <w:rsid w:val="007C26F2"/>
    <w:rsid w:val="007E1FC7"/>
    <w:rsid w:val="0080591C"/>
    <w:rsid w:val="00837388"/>
    <w:rsid w:val="00871EEA"/>
    <w:rsid w:val="00872319"/>
    <w:rsid w:val="008925C3"/>
    <w:rsid w:val="008B755C"/>
    <w:rsid w:val="00950D74"/>
    <w:rsid w:val="0098025B"/>
    <w:rsid w:val="009C5C8B"/>
    <w:rsid w:val="009E2FF3"/>
    <w:rsid w:val="00A12754"/>
    <w:rsid w:val="00A17410"/>
    <w:rsid w:val="00A33A61"/>
    <w:rsid w:val="00A82B41"/>
    <w:rsid w:val="00AA4250"/>
    <w:rsid w:val="00AE32FB"/>
    <w:rsid w:val="00AF2A10"/>
    <w:rsid w:val="00B01B62"/>
    <w:rsid w:val="00B03C98"/>
    <w:rsid w:val="00B21E44"/>
    <w:rsid w:val="00B5377A"/>
    <w:rsid w:val="00B57213"/>
    <w:rsid w:val="00B91DC0"/>
    <w:rsid w:val="00B91EFF"/>
    <w:rsid w:val="00C6358C"/>
    <w:rsid w:val="00C80C58"/>
    <w:rsid w:val="00C90C4E"/>
    <w:rsid w:val="00C92061"/>
    <w:rsid w:val="00CC7198"/>
    <w:rsid w:val="00D331AF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E4F9EA-7449-42B7-904D-754DE9A4E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8</Pages>
  <Words>1676</Words>
  <Characters>10062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36</cp:revision>
  <cp:lastPrinted>2024-07-26T10:23:00Z</cp:lastPrinted>
  <dcterms:created xsi:type="dcterms:W3CDTF">2025-12-09T13:37:00Z</dcterms:created>
  <dcterms:modified xsi:type="dcterms:W3CDTF">2026-01-20T08:04:00Z</dcterms:modified>
</cp:coreProperties>
</file>