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1D3F7C" w:rsidRDefault="00C61847" w:rsidP="001D3F7C">
      <w:pPr>
        <w:spacing w:before="79"/>
        <w:ind w:left="7788"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_F</w:t>
      </w:r>
      <w:r w:rsidR="00A118A4">
        <w:rPr>
          <w:rFonts w:ascii="Century Gothic" w:hAnsi="Century Gothic"/>
          <w:b/>
          <w:spacing w:val="-2"/>
          <w:sz w:val="24"/>
          <w:szCs w:val="24"/>
        </w:rPr>
        <w:t>171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>
        <w:rPr>
          <w:rFonts w:ascii="Century Gothic" w:hAnsi="Century Gothic"/>
          <w:b/>
          <w:spacing w:val="-2"/>
          <w:sz w:val="24"/>
          <w:szCs w:val="24"/>
        </w:rPr>
        <w:t>4</w:t>
      </w:r>
    </w:p>
    <w:p w:rsidR="00621A09" w:rsidRPr="001D3F7C" w:rsidRDefault="00C5741E" w:rsidP="001D3F7C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1D3F7C">
        <w:rPr>
          <w:rFonts w:ascii="Century Gothic" w:hAnsi="Century Gothic"/>
          <w:sz w:val="24"/>
          <w:szCs w:val="24"/>
          <w:u w:val="single"/>
        </w:rPr>
        <w:t>K</w:t>
      </w:r>
      <w:r w:rsidR="00C61847" w:rsidRPr="001D3F7C">
        <w:rPr>
          <w:rFonts w:ascii="Century Gothic" w:hAnsi="Century Gothic"/>
          <w:sz w:val="24"/>
          <w:szCs w:val="24"/>
          <w:u w:val="single"/>
        </w:rPr>
        <w:t>linika Kardiologii, Farmakologii Klinicznej i Chorób Wewnętrznych</w:t>
      </w:r>
    </w:p>
    <w:p w:rsidR="00A118A4" w:rsidRPr="00A118A4" w:rsidRDefault="00A118A4" w:rsidP="001D3F7C">
      <w:pPr>
        <w:ind w:left="2832"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>ŚWIADOMA ZGODA</w:t>
      </w:r>
    </w:p>
    <w:p w:rsidR="00A118A4" w:rsidRPr="00A118A4" w:rsidRDefault="00A118A4" w:rsidP="001D3F7C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 w:rsidRPr="00A118A4">
        <w:rPr>
          <w:rFonts w:ascii="Century Gothic" w:hAnsi="Century Gothic"/>
          <w:b/>
          <w:sz w:val="24"/>
          <w:szCs w:val="24"/>
        </w:rPr>
        <w:t>NA ZABIEG WSZCZEPIENIA URZĄDZENIA Z FUNKCJĄ RESYNCHRONIZACJI</w:t>
      </w:r>
    </w:p>
    <w:p w:rsidR="00116FEA" w:rsidRDefault="00116FEA" w:rsidP="001D3F7C">
      <w:pPr>
        <w:pStyle w:val="Heading1"/>
        <w:spacing w:before="126"/>
        <w:ind w:left="0" w:right="2"/>
        <w:rPr>
          <w:rFonts w:ascii="Arial"/>
        </w:rPr>
      </w:pPr>
    </w:p>
    <w:p w:rsidR="00EC59BF" w:rsidRPr="00621A09" w:rsidRDefault="00EC59BF" w:rsidP="001D3F7C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1D3F7C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0E2E28">
        <w:rPr>
          <w:rFonts w:ascii="Century Gothic" w:hAnsi="Century Gothic"/>
          <w:sz w:val="24"/>
          <w:szCs w:val="24"/>
        </w:rPr>
        <w:t>…………………………………………………….</w:t>
      </w:r>
    </w:p>
    <w:p w:rsidR="00DA38EC" w:rsidRPr="00DA38EC" w:rsidRDefault="00DA38EC" w:rsidP="001D3F7C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0E2E28">
        <w:rPr>
          <w:rFonts w:ascii="Century Gothic" w:hAnsi="Century Gothic"/>
          <w:sz w:val="24"/>
          <w:szCs w:val="24"/>
        </w:rPr>
        <w:t>…………………………………………...</w:t>
      </w:r>
    </w:p>
    <w:p w:rsidR="00DA38EC" w:rsidRDefault="00DA38EC" w:rsidP="001D3F7C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0E2E28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……………………………………………………………..</w:t>
      </w:r>
    </w:p>
    <w:p w:rsidR="007543B0" w:rsidRDefault="007543B0" w:rsidP="001D3F7C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881C5D" w:rsidRDefault="00881C5D" w:rsidP="001D3F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81C5D">
        <w:rPr>
          <w:rFonts w:ascii="Century Gothic" w:hAnsi="Century Gothic"/>
          <w:sz w:val="24"/>
          <w:szCs w:val="24"/>
        </w:rPr>
        <w:t>Zabieg, który Pani/Panu proponujemy wymaga Pani/a zgody. Aby tę decyzję ułatwić informujemy o rodzaju, znaczeniu i możliwych powikłaniach proponowanego zabiegu.</w:t>
      </w:r>
    </w:p>
    <w:p w:rsidR="001D3F7C" w:rsidRPr="00881C5D" w:rsidRDefault="001D3F7C" w:rsidP="001D3F7C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81C5D" w:rsidRDefault="00881C5D" w:rsidP="001D3F7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5868">
        <w:rPr>
          <w:rFonts w:ascii="Century Gothic" w:hAnsi="Century Gothic"/>
          <w:b/>
          <w:sz w:val="24"/>
          <w:szCs w:val="24"/>
        </w:rPr>
        <w:t>Dlaczego proponujemy Państwu ten zabieg ?</w:t>
      </w:r>
    </w:p>
    <w:p w:rsidR="00031704" w:rsidRPr="00031704" w:rsidRDefault="00031704" w:rsidP="001D3F7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 xml:space="preserve">Na podstawie wykonanych dotychczas badań stwierdzono, że Pani/a stan zdrowia wymaga wszczepienia urządzenia z funkcją </w:t>
      </w:r>
      <w:proofErr w:type="spellStart"/>
      <w:r w:rsidRPr="00031704">
        <w:rPr>
          <w:rFonts w:ascii="Century Gothic" w:hAnsi="Century Gothic"/>
          <w:sz w:val="24"/>
          <w:szCs w:val="24"/>
        </w:rPr>
        <w:t>resynchronizacji</w:t>
      </w:r>
      <w:proofErr w:type="spellEnd"/>
      <w:r w:rsidRPr="00031704">
        <w:rPr>
          <w:rFonts w:ascii="Century Gothic" w:hAnsi="Century Gothic"/>
          <w:sz w:val="24"/>
          <w:szCs w:val="24"/>
        </w:rPr>
        <w:t xml:space="preserve"> serca (stymulatora – </w:t>
      </w:r>
      <w:proofErr w:type="spellStart"/>
      <w:r w:rsidRPr="00031704">
        <w:rPr>
          <w:rFonts w:ascii="Century Gothic" w:hAnsi="Century Gothic"/>
          <w:sz w:val="24"/>
          <w:szCs w:val="24"/>
        </w:rPr>
        <w:t>CRT-P</w:t>
      </w:r>
      <w:proofErr w:type="spellEnd"/>
      <w:r w:rsidRPr="00031704">
        <w:rPr>
          <w:rFonts w:ascii="Century Gothic" w:hAnsi="Century Gothic"/>
          <w:sz w:val="24"/>
          <w:szCs w:val="24"/>
        </w:rPr>
        <w:t xml:space="preserve"> lub kardiowertera- defibrylatora – </w:t>
      </w:r>
      <w:proofErr w:type="spellStart"/>
      <w:r w:rsidRPr="00031704">
        <w:rPr>
          <w:rFonts w:ascii="Century Gothic" w:hAnsi="Century Gothic"/>
          <w:sz w:val="24"/>
          <w:szCs w:val="24"/>
        </w:rPr>
        <w:t>CRT-D</w:t>
      </w:r>
      <w:proofErr w:type="spellEnd"/>
      <w:r w:rsidRPr="00031704">
        <w:rPr>
          <w:rFonts w:ascii="Century Gothic" w:hAnsi="Century Gothic"/>
          <w:sz w:val="24"/>
          <w:szCs w:val="24"/>
        </w:rPr>
        <w:t>). Implantacja urządzenia jest wskazana u chorych:</w:t>
      </w:r>
    </w:p>
    <w:p w:rsidR="00031704" w:rsidRPr="00031704" w:rsidRDefault="00031704" w:rsidP="001D3F7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 xml:space="preserve">ze skurczową niewydolnością serca w III / IV wg NYHA, z frakcją wyrzutową (LVEF) ≤35%, z poszerzonym zespołem QRS ≥120 </w:t>
      </w:r>
      <w:proofErr w:type="spellStart"/>
      <w:r w:rsidRPr="00031704">
        <w:rPr>
          <w:rFonts w:ascii="Century Gothic" w:hAnsi="Century Gothic"/>
          <w:sz w:val="24"/>
          <w:szCs w:val="24"/>
        </w:rPr>
        <w:t>ms</w:t>
      </w:r>
      <w:proofErr w:type="spellEnd"/>
      <w:r w:rsidRPr="00031704">
        <w:rPr>
          <w:rFonts w:ascii="Century Gothic" w:hAnsi="Century Gothic"/>
          <w:sz w:val="24"/>
          <w:szCs w:val="24"/>
        </w:rPr>
        <w:t>, rytmem zatokowym, na optymalnej terapii farmakologicznej (OPT) z oczekiwanym okresem przeżycia &gt; 1 roku (dla pacjentów w IV klasie NYHA – bez hospitalizacji w z powodu NS w okresie 1 miesiąca przed wszczepieniem; przewidywany okres przeżycia &gt; 6 miesięcy);</w:t>
      </w:r>
    </w:p>
    <w:p w:rsidR="00031704" w:rsidRPr="00031704" w:rsidRDefault="00031704" w:rsidP="001D3F7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ze wskazaniami do stałej stymulacji serca z niewydolnością serca w II-IV klasie NYHA z LVEF</w:t>
      </w:r>
    </w:p>
    <w:p w:rsidR="00031704" w:rsidRPr="00031704" w:rsidRDefault="00031704" w:rsidP="001D3F7C">
      <w:pPr>
        <w:ind w:left="-426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≤35%;</w:t>
      </w:r>
    </w:p>
    <w:p w:rsidR="00031704" w:rsidRPr="00031704" w:rsidRDefault="00031704" w:rsidP="001D3F7C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 xml:space="preserve">z utrwalonym migotaniem przedsionków z wolną czynnością komór lub po ablacji węzła przedsionkowo – komorowego, w NYHA III/IV, LVEF ≤35%, z QRS ≥130 </w:t>
      </w:r>
      <w:proofErr w:type="spellStart"/>
      <w:r w:rsidRPr="00031704">
        <w:rPr>
          <w:rFonts w:ascii="Century Gothic" w:hAnsi="Century Gothic"/>
          <w:sz w:val="24"/>
          <w:szCs w:val="24"/>
        </w:rPr>
        <w:t>ms</w:t>
      </w:r>
      <w:proofErr w:type="spellEnd"/>
      <w:r w:rsidRPr="00031704">
        <w:rPr>
          <w:rFonts w:ascii="Century Gothic" w:hAnsi="Century Gothic"/>
          <w:sz w:val="24"/>
          <w:szCs w:val="24"/>
        </w:rPr>
        <w:t>, z przewidywanym odsetkiem stymulacji komór ≥ 95% ;</w:t>
      </w:r>
    </w:p>
    <w:p w:rsidR="00031704" w:rsidRDefault="00031704" w:rsidP="001D3F7C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 xml:space="preserve">z przewlekłą niewydolnością serca w klasie wg NYHA, LVEF ≤35%, QRS ≥150 </w:t>
      </w:r>
      <w:proofErr w:type="spellStart"/>
      <w:r w:rsidRPr="00031704">
        <w:rPr>
          <w:rFonts w:ascii="Century Gothic" w:hAnsi="Century Gothic"/>
          <w:sz w:val="24"/>
          <w:szCs w:val="24"/>
        </w:rPr>
        <w:t>ms</w:t>
      </w:r>
      <w:proofErr w:type="spellEnd"/>
      <w:r w:rsidRPr="00031704">
        <w:rPr>
          <w:rFonts w:ascii="Century Gothic" w:hAnsi="Century Gothic"/>
          <w:sz w:val="24"/>
          <w:szCs w:val="24"/>
        </w:rPr>
        <w:t>, rytmem zatokowym, OPT;</w:t>
      </w:r>
    </w:p>
    <w:p w:rsidR="001D3F7C" w:rsidRDefault="001D3F7C" w:rsidP="001D3F7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1D3F7C" w:rsidRPr="00031704" w:rsidRDefault="001D3F7C" w:rsidP="001D3F7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031704" w:rsidRPr="00031704" w:rsidRDefault="00031704" w:rsidP="006D1B9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lastRenderedPageBreak/>
        <w:t>Podsumowując dobrym kandydatem do terapii CRT są pacjenci:</w:t>
      </w:r>
    </w:p>
    <w:p w:rsidR="00031704" w:rsidRPr="00031704" w:rsidRDefault="00031704" w:rsidP="006D1B93">
      <w:pPr>
        <w:pStyle w:val="Akapitzlist"/>
        <w:numPr>
          <w:ilvl w:val="0"/>
          <w:numId w:val="5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u których komory nie pracują równocześnie (</w:t>
      </w:r>
      <w:proofErr w:type="spellStart"/>
      <w:r w:rsidRPr="00031704">
        <w:rPr>
          <w:rFonts w:ascii="Century Gothic" w:hAnsi="Century Gothic"/>
          <w:sz w:val="24"/>
          <w:szCs w:val="24"/>
        </w:rPr>
        <w:t>dyssynchronia</w:t>
      </w:r>
      <w:proofErr w:type="spellEnd"/>
      <w:r w:rsidRPr="00031704">
        <w:rPr>
          <w:rFonts w:ascii="Century Gothic" w:hAnsi="Century Gothic"/>
          <w:sz w:val="24"/>
          <w:szCs w:val="24"/>
        </w:rPr>
        <w:t xml:space="preserve"> komorowa);</w:t>
      </w:r>
    </w:p>
    <w:p w:rsidR="00031704" w:rsidRPr="00031704" w:rsidRDefault="00031704" w:rsidP="006D1B93">
      <w:pPr>
        <w:pStyle w:val="Akapitzlist"/>
        <w:numPr>
          <w:ilvl w:val="0"/>
          <w:numId w:val="5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z objawami pomimo stosowania optymalnej terapii medycznej, których jakość życia pozostaje niska (III lub IV klasa NYHA);</w:t>
      </w:r>
    </w:p>
    <w:p w:rsidR="00031704" w:rsidRDefault="00031704" w:rsidP="006D1B93">
      <w:pPr>
        <w:pStyle w:val="Akapitzlist"/>
        <w:numPr>
          <w:ilvl w:val="0"/>
          <w:numId w:val="5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których serce nie jest w stanie skutecznie pompować krwi – niska frakcja wyrzutowa (≤35%).</w:t>
      </w:r>
    </w:p>
    <w:p w:rsidR="006D1B93" w:rsidRPr="00031704" w:rsidRDefault="006D1B93" w:rsidP="006D1B93">
      <w:pPr>
        <w:pStyle w:val="Akapitzlist"/>
        <w:ind w:left="-414" w:firstLine="0"/>
        <w:jc w:val="both"/>
        <w:rPr>
          <w:rFonts w:ascii="Century Gothic" w:hAnsi="Century Gothic"/>
          <w:sz w:val="24"/>
          <w:szCs w:val="24"/>
        </w:rPr>
      </w:pPr>
    </w:p>
    <w:p w:rsidR="00031704" w:rsidRPr="00031704" w:rsidRDefault="00031704" w:rsidP="006D1B9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>Pomimo kwalifikacji zgodnej z wytycznymi na terapię CRT odpowiada tylko 60-70% pacjentów.</w:t>
      </w:r>
    </w:p>
    <w:p w:rsidR="00031704" w:rsidRPr="00031704" w:rsidRDefault="00031704" w:rsidP="006D1B9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704">
        <w:rPr>
          <w:rFonts w:ascii="Century Gothic" w:hAnsi="Century Gothic"/>
          <w:sz w:val="24"/>
          <w:szCs w:val="24"/>
        </w:rPr>
        <w:t xml:space="preserve">W zależności od rodzaju choroby – dobiera się odpowiedni typ stymulatora </w:t>
      </w:r>
      <w:proofErr w:type="spellStart"/>
      <w:r w:rsidRPr="00031704">
        <w:rPr>
          <w:rFonts w:ascii="Century Gothic" w:hAnsi="Century Gothic"/>
          <w:sz w:val="24"/>
          <w:szCs w:val="24"/>
        </w:rPr>
        <w:t>resynchronizujacego</w:t>
      </w:r>
      <w:proofErr w:type="spellEnd"/>
      <w:r w:rsidRPr="00031704">
        <w:rPr>
          <w:rFonts w:ascii="Century Gothic" w:hAnsi="Century Gothic"/>
          <w:sz w:val="24"/>
          <w:szCs w:val="24"/>
        </w:rPr>
        <w:t>. W chwili obecnej w naszej Klinice dostępne są urządzenia najnowszej generacji, posiadające wszystkie atesty europejskie oraz polskie. Do zabiegu używane są wyłącznie nowe, fabrycznie zapakowane urządzenia.</w:t>
      </w:r>
    </w:p>
    <w:p w:rsidR="00031704" w:rsidRPr="00B95868" w:rsidRDefault="00031704" w:rsidP="001D3F7C">
      <w:pPr>
        <w:jc w:val="both"/>
        <w:rPr>
          <w:rFonts w:ascii="Century Gothic" w:hAnsi="Century Gothic"/>
          <w:b/>
          <w:sz w:val="24"/>
          <w:szCs w:val="24"/>
        </w:rPr>
      </w:pPr>
    </w:p>
    <w:p w:rsidR="00217072" w:rsidRPr="00217072" w:rsidRDefault="00217072" w:rsidP="006D1B9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217072">
        <w:rPr>
          <w:rFonts w:ascii="Century Gothic" w:hAnsi="Century Gothic"/>
          <w:b/>
          <w:sz w:val="24"/>
          <w:szCs w:val="24"/>
        </w:rPr>
        <w:t>Przeciwwskazania do zabiegu i możliwe konsekwencje odmowy</w:t>
      </w:r>
    </w:p>
    <w:p w:rsidR="00217072" w:rsidRPr="00217072" w:rsidRDefault="00217072" w:rsidP="003F34E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17072">
        <w:rPr>
          <w:rFonts w:ascii="Century Gothic" w:hAnsi="Century Gothic"/>
          <w:sz w:val="24"/>
          <w:szCs w:val="24"/>
        </w:rPr>
        <w:t>Przeciw</w:t>
      </w:r>
      <w:r>
        <w:rPr>
          <w:rFonts w:ascii="Century Gothic" w:hAnsi="Century Gothic"/>
          <w:sz w:val="24"/>
          <w:szCs w:val="24"/>
        </w:rPr>
        <w:t>w</w:t>
      </w:r>
      <w:r w:rsidRPr="00217072">
        <w:rPr>
          <w:rFonts w:ascii="Century Gothic" w:hAnsi="Century Gothic"/>
          <w:sz w:val="24"/>
          <w:szCs w:val="24"/>
        </w:rPr>
        <w:t>skazania do zabiegu:</w:t>
      </w:r>
    </w:p>
    <w:p w:rsidR="00217072" w:rsidRPr="00217072" w:rsidRDefault="00217072" w:rsidP="003F34E5">
      <w:pPr>
        <w:pStyle w:val="Akapitzlist"/>
        <w:numPr>
          <w:ilvl w:val="0"/>
          <w:numId w:val="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17072">
        <w:rPr>
          <w:rFonts w:ascii="Century Gothic" w:hAnsi="Century Gothic"/>
          <w:sz w:val="24"/>
          <w:szCs w:val="24"/>
        </w:rPr>
        <w:t>warunki anatomiczne,</w:t>
      </w:r>
    </w:p>
    <w:p w:rsidR="00217072" w:rsidRPr="00217072" w:rsidRDefault="00217072" w:rsidP="003F34E5">
      <w:pPr>
        <w:pStyle w:val="Akapitzlist"/>
        <w:numPr>
          <w:ilvl w:val="0"/>
          <w:numId w:val="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17072">
        <w:rPr>
          <w:rFonts w:ascii="Century Gothic" w:hAnsi="Century Gothic"/>
          <w:sz w:val="24"/>
          <w:szCs w:val="24"/>
        </w:rPr>
        <w:t>zaburzenia krzepnięcia nie podlegające korekcie,</w:t>
      </w:r>
    </w:p>
    <w:p w:rsidR="00217072" w:rsidRPr="00217072" w:rsidRDefault="00217072" w:rsidP="003F34E5">
      <w:pPr>
        <w:pStyle w:val="Akapitzlist"/>
        <w:numPr>
          <w:ilvl w:val="0"/>
          <w:numId w:val="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17072">
        <w:rPr>
          <w:rFonts w:ascii="Century Gothic" w:hAnsi="Century Gothic"/>
          <w:sz w:val="24"/>
          <w:szCs w:val="24"/>
        </w:rPr>
        <w:t>zakażenia miejscowe i uogólnione,</w:t>
      </w:r>
    </w:p>
    <w:p w:rsidR="00217072" w:rsidRDefault="00217072" w:rsidP="003F34E5">
      <w:pPr>
        <w:pStyle w:val="Akapitzlist"/>
        <w:numPr>
          <w:ilvl w:val="0"/>
          <w:numId w:val="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17072">
        <w:rPr>
          <w:rFonts w:ascii="Century Gothic" w:hAnsi="Century Gothic"/>
          <w:sz w:val="24"/>
          <w:szCs w:val="24"/>
        </w:rPr>
        <w:t>brak zgody.</w:t>
      </w:r>
    </w:p>
    <w:p w:rsidR="00B720BF" w:rsidRDefault="00B720BF" w:rsidP="001D3F7C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B720BF" w:rsidRPr="00B720BF" w:rsidRDefault="00B720BF" w:rsidP="007427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720BF">
        <w:rPr>
          <w:rFonts w:ascii="Century Gothic" w:hAnsi="Century Gothic"/>
          <w:sz w:val="24"/>
          <w:szCs w:val="24"/>
        </w:rPr>
        <w:t xml:space="preserve">Terapia </w:t>
      </w:r>
      <w:proofErr w:type="spellStart"/>
      <w:r w:rsidRPr="00B720BF">
        <w:rPr>
          <w:rFonts w:ascii="Century Gothic" w:hAnsi="Century Gothic"/>
          <w:sz w:val="24"/>
          <w:szCs w:val="24"/>
        </w:rPr>
        <w:t>resynchronizująca</w:t>
      </w:r>
      <w:proofErr w:type="spellEnd"/>
      <w:r w:rsidRPr="00B720BF">
        <w:rPr>
          <w:rFonts w:ascii="Century Gothic" w:hAnsi="Century Gothic"/>
          <w:sz w:val="24"/>
          <w:szCs w:val="24"/>
        </w:rPr>
        <w:t xml:space="preserve"> stała się uznaną metodą leczenia zaawansowanej niewydolności serca, szczególnie u chorych z dolegliwościami utrzymującymi się pomimo optymalnego leczenia farmakologicznego. Dla wielu pacjentów odmowa wiąże się z brakiem ochrony przed nagłym zgonem sercowym w mechanizmie arytmii oraz zabiera nadzieje na dłuższe, bardziej komfortowe życie z mniejszą częstością hospitalizacji, dla niektórych jest szansą doczekania terminu przeszczepu serca.</w:t>
      </w:r>
    </w:p>
    <w:p w:rsidR="00217072" w:rsidRPr="001F22E5" w:rsidRDefault="001F22E5" w:rsidP="0074273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F22E5">
        <w:rPr>
          <w:rFonts w:ascii="Century Gothic" w:hAnsi="Century Gothic"/>
          <w:b/>
          <w:sz w:val="24"/>
          <w:szCs w:val="24"/>
        </w:rPr>
        <w:t xml:space="preserve">Czym jest stymulator </w:t>
      </w:r>
      <w:proofErr w:type="spellStart"/>
      <w:r w:rsidRPr="001F22E5">
        <w:rPr>
          <w:rFonts w:ascii="Century Gothic" w:hAnsi="Century Gothic"/>
          <w:b/>
          <w:sz w:val="24"/>
          <w:szCs w:val="24"/>
        </w:rPr>
        <w:t>resynchronizujący</w:t>
      </w:r>
      <w:proofErr w:type="spellEnd"/>
      <w:r w:rsidRPr="001F22E5">
        <w:rPr>
          <w:rFonts w:ascii="Century Gothic" w:hAnsi="Century Gothic"/>
          <w:b/>
          <w:sz w:val="24"/>
          <w:szCs w:val="24"/>
        </w:rPr>
        <w:t xml:space="preserve"> (CRT)?</w:t>
      </w:r>
    </w:p>
    <w:p w:rsidR="001F22E5" w:rsidRPr="001F22E5" w:rsidRDefault="001F22E5" w:rsidP="007427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22E5">
        <w:rPr>
          <w:rFonts w:ascii="Century Gothic" w:hAnsi="Century Gothic"/>
          <w:sz w:val="24"/>
          <w:szCs w:val="24"/>
        </w:rPr>
        <w:t xml:space="preserve">Zasada działania CRT polega na synchronicznej stymulacji obu komór serca poprzez elektrody wprowadzone przez układ żylny. Elektroda do stymulacji prawej komory (zwłaszcza przystosowana do kardiowersji/defibrylacji) umieszczona jest zazwyczaj w koniuszku prawej komory. Elektrodę (jedną lub dwie) do stymulacji lewej komory wprowadza się poprzez zatokę wieńcową do żyły </w:t>
      </w:r>
      <w:proofErr w:type="spellStart"/>
      <w:r w:rsidRPr="001F22E5">
        <w:rPr>
          <w:rFonts w:ascii="Century Gothic" w:hAnsi="Century Gothic"/>
          <w:sz w:val="24"/>
          <w:szCs w:val="24"/>
        </w:rPr>
        <w:t>nasierdziowej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położonej na ścianie bocznej lub tylnej lewej komory w miejscu o największym opóźnieniu aktywacji. Układy CRT są zazwyczaj wyposażone również w elektrodę </w:t>
      </w:r>
      <w:proofErr w:type="spellStart"/>
      <w:r w:rsidRPr="001F22E5">
        <w:rPr>
          <w:rFonts w:ascii="Century Gothic" w:hAnsi="Century Gothic"/>
          <w:sz w:val="24"/>
          <w:szCs w:val="24"/>
        </w:rPr>
        <w:t>prawoprzedsionkową</w:t>
      </w:r>
      <w:proofErr w:type="spellEnd"/>
      <w:r w:rsidRPr="001F22E5">
        <w:rPr>
          <w:rFonts w:ascii="Century Gothic" w:hAnsi="Century Gothic"/>
          <w:sz w:val="24"/>
          <w:szCs w:val="24"/>
        </w:rPr>
        <w:t>.</w:t>
      </w:r>
    </w:p>
    <w:p w:rsidR="001F22E5" w:rsidRPr="001F22E5" w:rsidRDefault="001F22E5" w:rsidP="006C7FC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F22E5">
        <w:rPr>
          <w:rFonts w:ascii="Century Gothic" w:hAnsi="Century Gothic"/>
          <w:sz w:val="24"/>
          <w:szCs w:val="24"/>
        </w:rPr>
        <w:lastRenderedPageBreak/>
        <w:t xml:space="preserve">Dla wyjaśnienia zasady działania CRT konieczne jest zrozumienie zjawiska </w:t>
      </w:r>
      <w:proofErr w:type="spellStart"/>
      <w:r w:rsidRPr="001F22E5">
        <w:rPr>
          <w:rFonts w:ascii="Century Gothic" w:hAnsi="Century Gothic"/>
          <w:sz w:val="24"/>
          <w:szCs w:val="24"/>
        </w:rPr>
        <w:t>dyssynchronii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skurczu serca. W sercu o upośledzonej funkcji skurczowej zaburzenia aktywacji elektrycznej mogą powodować </w:t>
      </w:r>
      <w:proofErr w:type="spellStart"/>
      <w:r w:rsidRPr="001F22E5">
        <w:rPr>
          <w:rFonts w:ascii="Century Gothic" w:hAnsi="Century Gothic"/>
          <w:sz w:val="24"/>
          <w:szCs w:val="24"/>
        </w:rPr>
        <w:t>dyssynchronię</w:t>
      </w:r>
      <w:proofErr w:type="spellEnd"/>
      <w:r w:rsidRPr="001F22E5">
        <w:rPr>
          <w:rFonts w:ascii="Century Gothic" w:hAnsi="Century Gothic"/>
          <w:sz w:val="24"/>
          <w:szCs w:val="24"/>
        </w:rPr>
        <w:t>:</w:t>
      </w:r>
    </w:p>
    <w:p w:rsidR="001F22E5" w:rsidRPr="001F22E5" w:rsidRDefault="001F22E5" w:rsidP="006C7FCA">
      <w:pPr>
        <w:pStyle w:val="Akapitzlist"/>
        <w:numPr>
          <w:ilvl w:val="0"/>
          <w:numId w:val="6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1F22E5">
        <w:rPr>
          <w:rFonts w:ascii="Century Gothic" w:hAnsi="Century Gothic"/>
          <w:sz w:val="24"/>
          <w:szCs w:val="24"/>
        </w:rPr>
        <w:t>przedsionkowo-komorową – nieefektywne napełnianie lewej komory i jej opóźniony skurcz w stosunku do skurczu lewego przedsionka,</w:t>
      </w:r>
    </w:p>
    <w:p w:rsidR="001F22E5" w:rsidRPr="001F22E5" w:rsidRDefault="001F22E5" w:rsidP="006C7FCA">
      <w:pPr>
        <w:pStyle w:val="Akapitzlist"/>
        <w:numPr>
          <w:ilvl w:val="0"/>
          <w:numId w:val="6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1F22E5">
        <w:rPr>
          <w:rFonts w:ascii="Century Gothic" w:hAnsi="Century Gothic"/>
          <w:sz w:val="24"/>
          <w:szCs w:val="24"/>
        </w:rPr>
        <w:t>międzykomorową – brak jednoczasowego skurczu prawej i lewej komory,</w:t>
      </w:r>
    </w:p>
    <w:p w:rsidR="001F22E5" w:rsidRPr="001F22E5" w:rsidRDefault="001F22E5" w:rsidP="006C7FCA">
      <w:pPr>
        <w:pStyle w:val="Akapitzlist"/>
        <w:numPr>
          <w:ilvl w:val="0"/>
          <w:numId w:val="6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1F22E5">
        <w:rPr>
          <w:rFonts w:ascii="Century Gothic" w:hAnsi="Century Gothic"/>
          <w:sz w:val="24"/>
          <w:szCs w:val="24"/>
        </w:rPr>
        <w:t>śródkomorową – niesynchroniczny skurcz segmentów lewej komory.</w:t>
      </w:r>
    </w:p>
    <w:p w:rsidR="001F22E5" w:rsidRPr="001F22E5" w:rsidRDefault="001F22E5" w:rsidP="006C7FCA">
      <w:pPr>
        <w:pStyle w:val="Akapitzlist"/>
        <w:numPr>
          <w:ilvl w:val="0"/>
          <w:numId w:val="7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proofErr w:type="spellStart"/>
      <w:r w:rsidRPr="001F22E5">
        <w:rPr>
          <w:rFonts w:ascii="Century Gothic" w:hAnsi="Century Gothic"/>
          <w:sz w:val="24"/>
          <w:szCs w:val="24"/>
        </w:rPr>
        <w:t>CRT-P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jest układem </w:t>
      </w:r>
      <w:proofErr w:type="spellStart"/>
      <w:r w:rsidRPr="001F22E5">
        <w:rPr>
          <w:rFonts w:ascii="Century Gothic" w:hAnsi="Century Gothic"/>
          <w:sz w:val="24"/>
          <w:szCs w:val="24"/>
        </w:rPr>
        <w:t>resynchronizującym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, złożonym z generatora impulsów (bez aktywnej obudowy), elektrody przedsionkowej, elektrody lewokomorowej i elektrody </w:t>
      </w:r>
      <w:proofErr w:type="spellStart"/>
      <w:r w:rsidRPr="001F22E5">
        <w:rPr>
          <w:rFonts w:ascii="Century Gothic" w:hAnsi="Century Gothic"/>
          <w:sz w:val="24"/>
          <w:szCs w:val="24"/>
        </w:rPr>
        <w:t>prawokomorowej</w:t>
      </w:r>
      <w:proofErr w:type="spellEnd"/>
      <w:r w:rsidRPr="001F22E5">
        <w:rPr>
          <w:rFonts w:ascii="Century Gothic" w:hAnsi="Century Gothic"/>
          <w:sz w:val="24"/>
          <w:szCs w:val="24"/>
        </w:rPr>
        <w:t>. Posiada zdolność synchronicznej stymulacji jam serca, bez możliwości terapii wysokoenergetycznej.</w:t>
      </w:r>
    </w:p>
    <w:p w:rsidR="001F22E5" w:rsidRPr="001F22E5" w:rsidRDefault="001F22E5" w:rsidP="006C7FCA">
      <w:pPr>
        <w:pStyle w:val="Akapitzlist"/>
        <w:numPr>
          <w:ilvl w:val="0"/>
          <w:numId w:val="7"/>
        </w:numPr>
        <w:ind w:left="0" w:hanging="284"/>
        <w:jc w:val="both"/>
        <w:rPr>
          <w:rFonts w:ascii="Century Gothic" w:hAnsi="Century Gothic"/>
          <w:sz w:val="24"/>
          <w:szCs w:val="24"/>
        </w:rPr>
      </w:pPr>
      <w:proofErr w:type="spellStart"/>
      <w:r w:rsidRPr="001F22E5">
        <w:rPr>
          <w:rFonts w:ascii="Century Gothic" w:hAnsi="Century Gothic"/>
          <w:sz w:val="24"/>
          <w:szCs w:val="24"/>
        </w:rPr>
        <w:t>CRT-D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– składa się z generatora impulsów, który posiada aktywną obudowę oraz kondensatory wysokoenergetyczne, elektrodę przedsionkową i lewokomorową oraz elektrodę </w:t>
      </w:r>
      <w:proofErr w:type="spellStart"/>
      <w:r w:rsidRPr="001F22E5">
        <w:rPr>
          <w:rFonts w:ascii="Century Gothic" w:hAnsi="Century Gothic"/>
          <w:sz w:val="24"/>
          <w:szCs w:val="24"/>
        </w:rPr>
        <w:t>prawokomorową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z jednym lub dwoma </w:t>
      </w:r>
      <w:proofErr w:type="spellStart"/>
      <w:r w:rsidRPr="001F22E5">
        <w:rPr>
          <w:rFonts w:ascii="Century Gothic" w:hAnsi="Century Gothic"/>
          <w:sz w:val="24"/>
          <w:szCs w:val="24"/>
        </w:rPr>
        <w:t>koilami</w:t>
      </w:r>
      <w:proofErr w:type="spellEnd"/>
      <w:r w:rsidRPr="001F22E5">
        <w:rPr>
          <w:rFonts w:ascii="Century Gothic" w:hAnsi="Century Gothic"/>
          <w:sz w:val="24"/>
          <w:szCs w:val="24"/>
        </w:rPr>
        <w:t xml:space="preserve"> wysokoenergetycznymi. Oprócz funkcji stymulacji posiada możliwość terapii wysokoenergetycznej (kardiowersji i defibrylacji) oraz stymulacji </w:t>
      </w:r>
      <w:proofErr w:type="spellStart"/>
      <w:r w:rsidRPr="001F22E5">
        <w:rPr>
          <w:rFonts w:ascii="Century Gothic" w:hAnsi="Century Gothic"/>
          <w:sz w:val="24"/>
          <w:szCs w:val="24"/>
        </w:rPr>
        <w:t>antytachyarytmicznej</w:t>
      </w:r>
      <w:proofErr w:type="spellEnd"/>
      <w:r w:rsidRPr="001F22E5">
        <w:rPr>
          <w:rFonts w:ascii="Century Gothic" w:hAnsi="Century Gothic"/>
          <w:sz w:val="24"/>
          <w:szCs w:val="24"/>
        </w:rPr>
        <w:t>.</w:t>
      </w:r>
    </w:p>
    <w:p w:rsidR="00217072" w:rsidRPr="00217072" w:rsidRDefault="00217072" w:rsidP="001D3F7C">
      <w:pPr>
        <w:jc w:val="both"/>
        <w:rPr>
          <w:rFonts w:ascii="Century Gothic" w:hAnsi="Century Gothic"/>
          <w:sz w:val="24"/>
          <w:szCs w:val="24"/>
        </w:rPr>
      </w:pPr>
    </w:p>
    <w:p w:rsidR="000F1D5C" w:rsidRPr="000F1D5C" w:rsidRDefault="000F1D5C" w:rsidP="00C67E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1D5C">
        <w:rPr>
          <w:rFonts w:ascii="Century Gothic" w:hAnsi="Century Gothic"/>
          <w:b/>
          <w:sz w:val="24"/>
          <w:szCs w:val="24"/>
        </w:rPr>
        <w:t>Opis zabiegu</w:t>
      </w:r>
    </w:p>
    <w:p w:rsidR="001E776E" w:rsidRPr="001E776E" w:rsidRDefault="001E776E" w:rsidP="00C67E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E776E">
        <w:rPr>
          <w:rFonts w:ascii="Century Gothic" w:hAnsi="Century Gothic"/>
          <w:sz w:val="24"/>
          <w:szCs w:val="24"/>
        </w:rPr>
        <w:t xml:space="preserve">Przed zabiegiem wszczepienia CRT pacjent jest na czczo przez 6 – 8 godzin. Zwykle podaje się łagodny środek uspokajający, znieczula miejsce nakłucia i miejsce późniejszego umieszczenia urządzenia pod skórą. Przez cały czas zabiegu pacjent przebywa w pozycji leżącej, jest przytomny. Najczęściej stosowana jest technika implantacji z zastosowaniem koszulki umożliwiającej </w:t>
      </w:r>
      <w:proofErr w:type="spellStart"/>
      <w:r w:rsidRPr="001E776E">
        <w:rPr>
          <w:rFonts w:ascii="Century Gothic" w:hAnsi="Century Gothic"/>
          <w:sz w:val="24"/>
          <w:szCs w:val="24"/>
        </w:rPr>
        <w:t>kaniulację</w:t>
      </w:r>
      <w:proofErr w:type="spellEnd"/>
      <w:r w:rsidRPr="001E776E">
        <w:rPr>
          <w:rFonts w:ascii="Century Gothic" w:hAnsi="Century Gothic"/>
          <w:sz w:val="24"/>
          <w:szCs w:val="24"/>
        </w:rPr>
        <w:t xml:space="preserve"> zatoki wieńcowej i umieszczenie elektrody lewokomorowej w jednej z żył </w:t>
      </w:r>
      <w:proofErr w:type="spellStart"/>
      <w:r w:rsidRPr="001E776E">
        <w:rPr>
          <w:rFonts w:ascii="Century Gothic" w:hAnsi="Century Gothic"/>
          <w:sz w:val="24"/>
          <w:szCs w:val="24"/>
        </w:rPr>
        <w:t>nasierdziowych</w:t>
      </w:r>
      <w:proofErr w:type="spellEnd"/>
      <w:r w:rsidRPr="001E776E">
        <w:rPr>
          <w:rFonts w:ascii="Century Gothic" w:hAnsi="Century Gothic"/>
          <w:sz w:val="24"/>
          <w:szCs w:val="24"/>
        </w:rPr>
        <w:t xml:space="preserve"> przebiegających nad ścianą boczną lewej komory. W trakcie </w:t>
      </w:r>
      <w:proofErr w:type="spellStart"/>
      <w:r w:rsidRPr="001E776E">
        <w:rPr>
          <w:rFonts w:ascii="Century Gothic" w:hAnsi="Century Gothic"/>
          <w:sz w:val="24"/>
          <w:szCs w:val="24"/>
        </w:rPr>
        <w:t>kaniulacji</w:t>
      </w:r>
      <w:proofErr w:type="spellEnd"/>
      <w:r w:rsidRPr="001E776E">
        <w:rPr>
          <w:rFonts w:ascii="Century Gothic" w:hAnsi="Century Gothic"/>
          <w:sz w:val="24"/>
          <w:szCs w:val="24"/>
        </w:rPr>
        <w:t xml:space="preserve"> zatoki wieńcowej wykonywana jest wenografia układu żylnego serca z oceną anatomii żył i wyboru optymalnej techniki implantacji elektrody lewokomorowej. Zazwyczaj dąży się do implantacji elektrody w okolicy ściany bocznej lub dolno-bocznej lewej komory w celu otrzymania zadowalających parametrów stymulacji i uniknięcia stymulacji przepony. W razie niepowodzenia tej metody możliwe jest chirurgiczne wszczepienie CRT, jednak nie ma dużych badań oceniających skuteczność i bezpieczeństwo tej metody. Cały zabieg trwa ok. 60­90 minut.</w:t>
      </w:r>
    </w:p>
    <w:p w:rsidR="001E776E" w:rsidRDefault="001E776E" w:rsidP="00C67E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E776E">
        <w:rPr>
          <w:rFonts w:ascii="Century Gothic" w:hAnsi="Century Gothic"/>
          <w:sz w:val="24"/>
          <w:szCs w:val="24"/>
        </w:rPr>
        <w:t xml:space="preserve">Rodzaj stymulatora </w:t>
      </w:r>
      <w:proofErr w:type="spellStart"/>
      <w:r w:rsidRPr="001E776E">
        <w:rPr>
          <w:rFonts w:ascii="Century Gothic" w:hAnsi="Century Gothic"/>
          <w:sz w:val="24"/>
          <w:szCs w:val="24"/>
        </w:rPr>
        <w:t>resynchronizującego</w:t>
      </w:r>
      <w:proofErr w:type="spellEnd"/>
      <w:r w:rsidRPr="001E776E">
        <w:rPr>
          <w:rFonts w:ascii="Century Gothic" w:hAnsi="Century Gothic"/>
          <w:sz w:val="24"/>
          <w:szCs w:val="24"/>
        </w:rPr>
        <w:t xml:space="preserve"> zależy od schorzenia, które było wskazaniem do jego wszczepienia. Stymulator umieszcza się we wcześniej przygotowanej przestrzeni pod skórą pacjenta, a następnie całość zaszywa szwami chirurgicznymi.</w:t>
      </w:r>
    </w:p>
    <w:p w:rsidR="005A44A5" w:rsidRDefault="005A44A5" w:rsidP="00C67E5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A44A5" w:rsidRPr="000F1D5C" w:rsidRDefault="005A44A5" w:rsidP="00C67E5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F1D5C" w:rsidRPr="000F1D5C" w:rsidRDefault="000F1D5C" w:rsidP="00C67E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F1D5C">
        <w:rPr>
          <w:rFonts w:ascii="Century Gothic" w:hAnsi="Century Gothic"/>
          <w:b/>
          <w:sz w:val="24"/>
          <w:szCs w:val="24"/>
        </w:rPr>
        <w:lastRenderedPageBreak/>
        <w:t>Jak należy zachowywać się po zabiegu?</w:t>
      </w: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Podczas pierwszych dni po implantacji powinno się unikać gwałtownych ruchów oraz nacisków w miejscu operowanym. Jeżeli w czasie zabiegu stosowane było znieczulenie ogólne – pacjenta należy monitorować na sali intensywnego nadzoru – czas monitorowania zależny jest od rodzaju znieczulenia i stanu chorego. Stosowanie ucisku na okolicę loży wszczepionego urządzenia (np. worek z piaskiem) przez okres około 6-8 godzin, pacjent powinien przebywać w pozycji leżącej około 12 godzin po zabiegu. Kontrola okolicy w loży po wszczepieniu, aby wykluczyć krwawienie, tworzenie się krwiaka, zakrzepica żyły pachowej. Stosuje się także leczenie przeciwbólowe w razie potrzeby. Usunięcie szwów po 8-10 dniach, ocena stanu gojenia się rany i powikłań pooperacyjnych, ocena możliwości włączenia leków przeciwkrzepliwych.</w:t>
      </w: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Kontrola urządzenia po 4 – 6 tygodniach, w miarę możliwości wykonanie próby wysiłkowej, jeśli nie była wykonana wcześniej, zaplanowanie testu defibrylacji jeśli nie był wykonany w trakcie hospitalizacji (np. z powodu braku leczenia przeciwkrzepliwego). Kolejne kontrole co 3 miesiące w pierwszym roku od wszczepienia, w kolejnych latach co 6 miesięcy lub w razie konieczności związanej z interwencjami urządzenia lub jego nieprawidłowym działaniem (np. utrata stymulacji) – kontrole mogą być częstsze pod koniec żywotności baterii urządzenia. Ocena okolicy wszczepionego urządzenia, wywiad, co do stosowanej farmakoterapii i objawów związanych z niewydolnością serca.</w:t>
      </w: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 zabiegu możliwe jest więc oglądanie telewizji, praca na komputerze, używanie odkurzacza, jazda tramwajem itp. Bezpieczne jest także używanie telefonu komórkowego - zalecamy jedynie, aby nie nosić go blisko stymulatora (w kieszeni na piersi). Przeciwwskazane jest przebywanie w zasięgu silnego promieniowania elektromagnetycznego (generatory prądu, spawarki elektryczne, stacje transformatorowe), oraz używanie niesprawnych lub źle uziemionych urządzeń elektrycznych. Nie należy przekraczać bramek kontrolnych na lotniskach międzynarodowych - po okazaniu dokumentu świadczącego o posiadaniu urządzenia pacjent będzie przepuszczony obok nich.</w:t>
      </w:r>
    </w:p>
    <w:p w:rsidR="008274B3" w:rsidRDefault="008274B3" w:rsidP="001D3F7C">
      <w:pPr>
        <w:pStyle w:val="Tekstpodstawowy"/>
        <w:spacing w:before="8"/>
        <w:ind w:left="0"/>
        <w:jc w:val="both"/>
        <w:rPr>
          <w:b/>
        </w:rPr>
      </w:pP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274B3">
        <w:rPr>
          <w:rFonts w:ascii="Century Gothic" w:hAnsi="Century Gothic"/>
          <w:b/>
          <w:sz w:val="24"/>
          <w:szCs w:val="24"/>
        </w:rPr>
        <w:t>Powikłania</w:t>
      </w: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b/>
          <w:sz w:val="24"/>
          <w:szCs w:val="24"/>
        </w:rPr>
        <w:t>CRT</w:t>
      </w:r>
      <w:r w:rsidRPr="008274B3">
        <w:rPr>
          <w:rFonts w:ascii="Century Gothic" w:hAnsi="Century Gothic"/>
          <w:sz w:val="24"/>
          <w:szCs w:val="24"/>
        </w:rPr>
        <w:t xml:space="preserve"> jest </w:t>
      </w:r>
      <w:r w:rsidRPr="008274B3">
        <w:rPr>
          <w:rFonts w:ascii="Century Gothic" w:hAnsi="Century Gothic"/>
          <w:b/>
          <w:sz w:val="24"/>
          <w:szCs w:val="24"/>
        </w:rPr>
        <w:t>metodą skuteczną</w:t>
      </w:r>
      <w:r w:rsidRPr="008274B3">
        <w:rPr>
          <w:rFonts w:ascii="Century Gothic" w:hAnsi="Century Gothic"/>
          <w:sz w:val="24"/>
          <w:szCs w:val="24"/>
        </w:rPr>
        <w:t xml:space="preserve"> (93% wszczepień zakończonych sukcesem) i </w:t>
      </w:r>
      <w:r w:rsidRPr="008274B3">
        <w:rPr>
          <w:rFonts w:ascii="Century Gothic" w:hAnsi="Century Gothic"/>
          <w:b/>
          <w:sz w:val="24"/>
          <w:szCs w:val="24"/>
        </w:rPr>
        <w:t xml:space="preserve">stosunkowo </w:t>
      </w:r>
      <w:r w:rsidRPr="008274B3">
        <w:rPr>
          <w:rFonts w:ascii="Century Gothic" w:hAnsi="Century Gothic"/>
          <w:sz w:val="24"/>
          <w:szCs w:val="24"/>
        </w:rPr>
        <w:t xml:space="preserve">bezpieczną (śmiertelność w czasie zabiegu 0,3-0,5%). Skuteczność zabiegu i możliwe powikłania nie różnią się istotnie w grupach chorych z wszczepionymi układami </w:t>
      </w:r>
      <w:proofErr w:type="spellStart"/>
      <w:r w:rsidRPr="008274B3">
        <w:rPr>
          <w:rFonts w:ascii="Century Gothic" w:hAnsi="Century Gothic"/>
          <w:sz w:val="24"/>
          <w:szCs w:val="24"/>
        </w:rPr>
        <w:t>CRT-P</w:t>
      </w:r>
      <w:proofErr w:type="spellEnd"/>
      <w:r w:rsidRPr="008274B3">
        <w:rPr>
          <w:rFonts w:ascii="Century Gothic" w:hAnsi="Century Gothic"/>
          <w:sz w:val="24"/>
          <w:szCs w:val="24"/>
        </w:rPr>
        <w:t xml:space="preserve"> i </w:t>
      </w:r>
      <w:proofErr w:type="spellStart"/>
      <w:r w:rsidRPr="008274B3">
        <w:rPr>
          <w:rFonts w:ascii="Century Gothic" w:hAnsi="Century Gothic"/>
          <w:sz w:val="24"/>
          <w:szCs w:val="24"/>
        </w:rPr>
        <w:t>CRT-D</w:t>
      </w:r>
      <w:proofErr w:type="spellEnd"/>
      <w:r w:rsidRPr="008274B3">
        <w:rPr>
          <w:rFonts w:ascii="Century Gothic" w:hAnsi="Century Gothic"/>
          <w:sz w:val="24"/>
          <w:szCs w:val="24"/>
        </w:rPr>
        <w:t>.</w:t>
      </w:r>
    </w:p>
    <w:p w:rsidR="008274B3" w:rsidRPr="008274B3" w:rsidRDefault="008274B3" w:rsidP="005A44A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Wśród możliwych powikłań najczęściej spotyka się: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 xml:space="preserve">związane z oznaczeniem progu defibrylacji (burza elektryczna, nasilenie </w:t>
      </w:r>
      <w:r w:rsidRPr="008274B3">
        <w:rPr>
          <w:rFonts w:ascii="Century Gothic" w:hAnsi="Century Gothic"/>
          <w:sz w:val="24"/>
          <w:szCs w:val="24"/>
        </w:rPr>
        <w:lastRenderedPageBreak/>
        <w:t>niewydolności serca)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8274B3">
        <w:rPr>
          <w:rFonts w:ascii="Century Gothic" w:hAnsi="Century Gothic"/>
          <w:sz w:val="24"/>
          <w:szCs w:val="24"/>
        </w:rPr>
        <w:t>dyssekcję</w:t>
      </w:r>
      <w:proofErr w:type="spellEnd"/>
      <w:r w:rsidRPr="008274B3">
        <w:rPr>
          <w:rFonts w:ascii="Century Gothic" w:hAnsi="Century Gothic"/>
          <w:sz w:val="24"/>
          <w:szCs w:val="24"/>
        </w:rPr>
        <w:t xml:space="preserve"> zatoki wieńcowej (2,1-3,27%);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dyslokację elektrody, krwiak loży (4-13,6%);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stymulację nerwu przeponowego (1,5-12%);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zakażenia (1,3-3,4%);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powikłania mechaniczne (3,2%, w tym rozwarstwienie lub perforacja zatoki wieńcowej, wysięk osierdziowy, tamponada, odma, krwawienia opłucnowe);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 xml:space="preserve">zgony </w:t>
      </w:r>
      <w:proofErr w:type="spellStart"/>
      <w:r w:rsidRPr="008274B3">
        <w:rPr>
          <w:rFonts w:ascii="Century Gothic" w:hAnsi="Century Gothic"/>
          <w:sz w:val="24"/>
          <w:szCs w:val="24"/>
        </w:rPr>
        <w:t>okołoimplantacyjne</w:t>
      </w:r>
      <w:proofErr w:type="spellEnd"/>
      <w:r w:rsidRPr="008274B3">
        <w:rPr>
          <w:rFonts w:ascii="Century Gothic" w:hAnsi="Century Gothic"/>
          <w:sz w:val="24"/>
          <w:szCs w:val="24"/>
        </w:rPr>
        <w:t xml:space="preserve"> (0,3%);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powikłania znieczulenia ogólnego;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powikłania dotyczące miejsca wprowadzenia cewników (1-5%, np. siniak, krwiak, zakażenie rany pooperacyjnej);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powikłania o charakterze miejscowym (1-5%, tzn. zaczerwienienie, pokrzywka, uczucie gorąca w miejscu podania) lub ogólny (działanie na nerki, układ sercowo-naczyniowy, nerwowy, immunologiczny);</w:t>
      </w:r>
    </w:p>
    <w:p w:rsidR="008274B3" w:rsidRPr="008274B3" w:rsidRDefault="008274B3" w:rsidP="005A44A5">
      <w:pPr>
        <w:pStyle w:val="Akapitzlist"/>
        <w:numPr>
          <w:ilvl w:val="0"/>
          <w:numId w:val="8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8274B3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881C5D" w:rsidRPr="005E2350" w:rsidRDefault="00881C5D" w:rsidP="001D3F7C">
      <w:pPr>
        <w:jc w:val="both"/>
        <w:rPr>
          <w:rFonts w:ascii="Century Gothic" w:hAnsi="Century Gothic"/>
          <w:b/>
          <w:sz w:val="24"/>
          <w:szCs w:val="24"/>
        </w:rPr>
      </w:pPr>
    </w:p>
    <w:p w:rsidR="005E2350" w:rsidRPr="005E2350" w:rsidRDefault="005E2350" w:rsidP="00904DB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E2350">
        <w:rPr>
          <w:rFonts w:ascii="Century Gothic" w:hAnsi="Century Gothic"/>
          <w:b/>
          <w:sz w:val="24"/>
          <w:szCs w:val="24"/>
        </w:rPr>
        <w:t>Rokowanie:</w:t>
      </w:r>
    </w:p>
    <w:p w:rsidR="005E2350" w:rsidRPr="005E2350" w:rsidRDefault="005E2350" w:rsidP="00904DB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5E2350" w:rsidRDefault="005E2350" w:rsidP="001D3F7C">
      <w:pPr>
        <w:ind w:firstLine="708"/>
        <w:jc w:val="both"/>
        <w:rPr>
          <w:rFonts w:ascii="Century Gothic" w:hAnsi="Century Gothic"/>
          <w:sz w:val="24"/>
          <w:szCs w:val="24"/>
        </w:rPr>
      </w:pPr>
      <w:r w:rsidRPr="005E2350">
        <w:rPr>
          <w:rFonts w:ascii="Century Gothic" w:hAnsi="Century Gothic"/>
          <w:sz w:val="24"/>
          <w:szCs w:val="24"/>
        </w:rPr>
        <w:t>□ duże</w:t>
      </w:r>
      <w:r w:rsidRPr="005E235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średnie</w:t>
      </w:r>
      <w:r w:rsidRPr="005E235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5E2350">
        <w:rPr>
          <w:rFonts w:ascii="Century Gothic" w:hAnsi="Century Gothic"/>
          <w:sz w:val="24"/>
          <w:szCs w:val="24"/>
        </w:rPr>
        <w:t>□ ograniczone</w:t>
      </w:r>
    </w:p>
    <w:p w:rsidR="00904DBE" w:rsidRPr="007E4C76" w:rsidRDefault="00904DBE" w:rsidP="00904DBE">
      <w:pPr>
        <w:ind w:left="-709" w:firstLine="283"/>
        <w:jc w:val="both"/>
        <w:rPr>
          <w:rFonts w:ascii="Century Gothic" w:hAnsi="Century Gothic"/>
          <w:sz w:val="24"/>
          <w:szCs w:val="24"/>
        </w:rPr>
      </w:pPr>
    </w:p>
    <w:p w:rsidR="007E4C76" w:rsidRPr="007030E8" w:rsidRDefault="007E4C76" w:rsidP="00904DBE">
      <w:pPr>
        <w:pStyle w:val="Akapitzlist"/>
        <w:numPr>
          <w:ilvl w:val="0"/>
          <w:numId w:val="9"/>
        </w:numPr>
        <w:ind w:left="-709" w:firstLine="283"/>
        <w:jc w:val="both"/>
        <w:rPr>
          <w:rFonts w:ascii="Century Gothic" w:hAnsi="Century Gothic"/>
          <w:b/>
          <w:sz w:val="24"/>
          <w:szCs w:val="24"/>
        </w:rPr>
      </w:pPr>
      <w:r w:rsidRPr="007030E8">
        <w:rPr>
          <w:rFonts w:ascii="Century Gothic" w:hAnsi="Century Gothic"/>
          <w:b/>
          <w:sz w:val="24"/>
          <w:szCs w:val="24"/>
        </w:rPr>
        <w:t>Oświadczenie:</w:t>
      </w:r>
    </w:p>
    <w:p w:rsidR="007030E8" w:rsidRPr="007030E8" w:rsidRDefault="007030E8" w:rsidP="001D3F7C">
      <w:pPr>
        <w:jc w:val="both"/>
        <w:rPr>
          <w:rFonts w:ascii="Century Gothic" w:hAnsi="Century Gothic"/>
          <w:sz w:val="24"/>
          <w:szCs w:val="24"/>
        </w:rPr>
      </w:pP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  <w:r w:rsidR="00022A05" w:rsidRPr="00022A05">
        <w:rPr>
          <w:rFonts w:ascii="Century Gothic" w:hAnsi="Century Gothic"/>
          <w:sz w:val="24"/>
          <w:szCs w:val="24"/>
        </w:rPr>
        <w:t>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Zapoznałem/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22A05">
        <w:rPr>
          <w:rFonts w:ascii="Century Gothic" w:hAnsi="Century Gothic"/>
          <w:sz w:val="24"/>
          <w:szCs w:val="24"/>
        </w:rPr>
        <w:t>am</w:t>
      </w:r>
      <w:proofErr w:type="spellEnd"/>
      <w:r w:rsidRPr="00022A05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7030E8" w:rsidRPr="00022A05" w:rsidRDefault="007030E8" w:rsidP="00904DBE">
      <w:pPr>
        <w:pStyle w:val="Akapitzlist"/>
        <w:numPr>
          <w:ilvl w:val="0"/>
          <w:numId w:val="11"/>
        </w:numPr>
        <w:ind w:left="-284" w:hanging="283"/>
        <w:jc w:val="both"/>
        <w:rPr>
          <w:rFonts w:ascii="Century Gothic" w:hAnsi="Century Gothic"/>
          <w:sz w:val="24"/>
          <w:szCs w:val="24"/>
        </w:rPr>
      </w:pPr>
      <w:r w:rsidRPr="00022A05">
        <w:rPr>
          <w:rFonts w:ascii="Century Gothic" w:hAnsi="Century Gothic"/>
          <w:sz w:val="24"/>
          <w:szCs w:val="24"/>
        </w:rPr>
        <w:lastRenderedPageBreak/>
        <w:t>Wiem, że mogę cofnąć zgodę na wykonanie zabiegu/badania zastosowane leczenia – w każdej chwili.</w:t>
      </w:r>
    </w:p>
    <w:p w:rsidR="00904DBE" w:rsidRDefault="00904DBE" w:rsidP="00904DB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904DB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</w:t>
      </w:r>
      <w:r>
        <w:rPr>
          <w:rFonts w:ascii="Century Gothic" w:hAnsi="Century Gothic"/>
          <w:sz w:val="24"/>
          <w:szCs w:val="24"/>
        </w:rPr>
        <w:t xml:space="preserve"> </w:t>
      </w:r>
      <w:r w:rsidRPr="007030E8">
        <w:rPr>
          <w:rFonts w:ascii="Century Gothic" w:hAnsi="Century Gothic"/>
          <w:sz w:val="24"/>
          <w:szCs w:val="24"/>
        </w:rPr>
        <w:t>i medycznych (wyniki badań dotychczasowych jak i następnych) do:</w:t>
      </w:r>
    </w:p>
    <w:p w:rsidR="007030E8" w:rsidRDefault="007030E8" w:rsidP="001D3F7C">
      <w:pPr>
        <w:pStyle w:val="Akapitzlist"/>
        <w:numPr>
          <w:ilvl w:val="0"/>
          <w:numId w:val="10"/>
        </w:numPr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medycznych baz danych pacjentów: szpitalnej, ogólnopolskiej i europejskiej.</w:t>
      </w:r>
    </w:p>
    <w:p w:rsidR="00904DBE" w:rsidRPr="007030E8" w:rsidRDefault="00904DBE" w:rsidP="00904DBE">
      <w:pPr>
        <w:pStyle w:val="Akapitzlist"/>
        <w:ind w:left="837" w:firstLine="0"/>
        <w:jc w:val="both"/>
        <w:rPr>
          <w:rFonts w:ascii="Century Gothic" w:hAnsi="Century Gothic"/>
          <w:sz w:val="24"/>
          <w:szCs w:val="24"/>
        </w:rPr>
      </w:pPr>
    </w:p>
    <w:p w:rsidR="007030E8" w:rsidRPr="007030E8" w:rsidRDefault="007030E8" w:rsidP="001D3F7C">
      <w:pPr>
        <w:pStyle w:val="Akapitzlist"/>
        <w:numPr>
          <w:ilvl w:val="0"/>
          <w:numId w:val="10"/>
        </w:numPr>
        <w:jc w:val="both"/>
        <w:rPr>
          <w:rFonts w:ascii="Century Gothic" w:hAnsi="Century Gothic"/>
          <w:sz w:val="24"/>
          <w:szCs w:val="24"/>
        </w:rPr>
      </w:pPr>
      <w:r w:rsidRPr="007030E8">
        <w:rPr>
          <w:rFonts w:ascii="Century Gothic" w:hAnsi="Century Gothic"/>
          <w:sz w:val="24"/>
          <w:szCs w:val="24"/>
        </w:rPr>
        <w:t>badań oceniających: zastosowanych u mnie metod leczenia, jak również na publikowanie wyników tych badań (publikacje nie będą zawierały danych personalnych pozwalających na ustalenie mojej tożsamości).</w:t>
      </w:r>
    </w:p>
    <w:p w:rsidR="007030E8" w:rsidRDefault="007030E8" w:rsidP="001D3F7C">
      <w:pPr>
        <w:jc w:val="both"/>
        <w:rPr>
          <w:rFonts w:ascii="Century Gothic" w:hAnsi="Century Gothic"/>
          <w:sz w:val="24"/>
          <w:szCs w:val="24"/>
        </w:rPr>
      </w:pPr>
    </w:p>
    <w:p w:rsidR="00904DBE" w:rsidRPr="007E4C76" w:rsidRDefault="00904DBE" w:rsidP="001D3F7C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1D3F7C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wyrażam zgodę</w:t>
      </w:r>
    </w:p>
    <w:p w:rsidR="007E4C76" w:rsidRPr="007E4C76" w:rsidRDefault="007E4C76" w:rsidP="001D3F7C">
      <w:pPr>
        <w:pStyle w:val="Akapitzlist"/>
        <w:numPr>
          <w:ilvl w:val="0"/>
          <w:numId w:val="2"/>
        </w:num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odmawiam wyrażenia zgody</w:t>
      </w:r>
    </w:p>
    <w:p w:rsidR="007E4C76" w:rsidRPr="007E4C76" w:rsidRDefault="007E4C76" w:rsidP="001D3F7C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1D3F7C">
      <w:pPr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904DBE">
      <w:pPr>
        <w:ind w:left="4248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.........................................................................</w:t>
      </w:r>
    </w:p>
    <w:p w:rsidR="007E4C76" w:rsidRDefault="007E4C76" w:rsidP="00904DB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  <w:r w:rsidRPr="00904DBE">
        <w:rPr>
          <w:rFonts w:ascii="Century Gothic" w:hAnsi="Century Gothic"/>
          <w:sz w:val="24"/>
          <w:szCs w:val="24"/>
        </w:rPr>
        <w:t>/czytelny podpis (imię i nazwisko) pacjenta/opiekuna prawnego/</w:t>
      </w:r>
    </w:p>
    <w:p w:rsidR="00904DBE" w:rsidRPr="00904DBE" w:rsidRDefault="00904DBE" w:rsidP="00904DBE">
      <w:pPr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7E4C76" w:rsidRPr="007E4C76" w:rsidRDefault="007E4C76" w:rsidP="001D3F7C">
      <w:pPr>
        <w:spacing w:before="1"/>
        <w:ind w:left="141"/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w w:val="80"/>
          <w:sz w:val="24"/>
          <w:szCs w:val="24"/>
        </w:rPr>
        <w:t>Lekarz</w:t>
      </w:r>
      <w:r w:rsidRPr="007E4C76">
        <w:rPr>
          <w:rFonts w:ascii="Century Gothic" w:hAnsi="Century Gothic"/>
          <w:spacing w:val="1"/>
          <w:sz w:val="24"/>
          <w:szCs w:val="24"/>
        </w:rPr>
        <w:t xml:space="preserve"> </w:t>
      </w:r>
      <w:r w:rsidRPr="007E4C76">
        <w:rPr>
          <w:rFonts w:ascii="Century Gothic" w:hAnsi="Century Gothic"/>
          <w:w w:val="80"/>
          <w:sz w:val="24"/>
          <w:szCs w:val="24"/>
        </w:rPr>
        <w:t>przyjmujący</w:t>
      </w:r>
      <w:r w:rsidRPr="007E4C76">
        <w:rPr>
          <w:rFonts w:ascii="Century Gothic" w:hAnsi="Century Gothic"/>
          <w:spacing w:val="2"/>
          <w:sz w:val="24"/>
          <w:szCs w:val="24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4"/>
          <w:szCs w:val="24"/>
        </w:rPr>
        <w:t>oświadczenie:</w:t>
      </w:r>
    </w:p>
    <w:p w:rsidR="007E4C76" w:rsidRDefault="007E4C76" w:rsidP="001D3F7C">
      <w:pPr>
        <w:pStyle w:val="Tekstpodstawowy"/>
        <w:spacing w:before="241"/>
        <w:ind w:left="0"/>
        <w:jc w:val="both"/>
        <w:rPr>
          <w:sz w:val="28"/>
        </w:rPr>
      </w:pPr>
    </w:p>
    <w:p w:rsidR="007E4C76" w:rsidRPr="007E4C76" w:rsidRDefault="007E4C76" w:rsidP="001D3F7C">
      <w:pPr>
        <w:ind w:left="14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4"/>
          <w:szCs w:val="24"/>
        </w:rPr>
        <w:t>Data:</w:t>
      </w:r>
      <w:r w:rsidRPr="007E4C76">
        <w:rPr>
          <w:rFonts w:ascii="Century Gothic" w:hAnsi="Century Gothic"/>
          <w:spacing w:val="79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....................................................</w:t>
      </w:r>
      <w:r w:rsidRPr="007E4C76">
        <w:rPr>
          <w:rFonts w:ascii="Century Gothic" w:hAnsi="Century Gothic"/>
          <w:spacing w:val="75"/>
          <w:sz w:val="20"/>
        </w:rPr>
        <w:t xml:space="preserve">  </w:t>
      </w:r>
      <w:r w:rsidRPr="007E4C76">
        <w:rPr>
          <w:rFonts w:ascii="Century Gothic" w:hAnsi="Century Gothic"/>
          <w:spacing w:val="-2"/>
          <w:w w:val="80"/>
          <w:sz w:val="20"/>
        </w:rPr>
        <w:t>...........................................................................................................................................</w:t>
      </w:r>
    </w:p>
    <w:p w:rsidR="00904DBE" w:rsidRDefault="007E4C76" w:rsidP="001D3F7C">
      <w:pPr>
        <w:spacing w:before="4"/>
        <w:ind w:left="5131"/>
        <w:jc w:val="both"/>
        <w:rPr>
          <w:rFonts w:ascii="Century Gothic" w:hAnsi="Century Gothic"/>
          <w:sz w:val="20"/>
        </w:rPr>
      </w:pPr>
      <w:r w:rsidRPr="007E4C76">
        <w:rPr>
          <w:rFonts w:ascii="Century Gothic" w:hAnsi="Century Gothic"/>
          <w:w w:val="80"/>
          <w:sz w:val="20"/>
        </w:rPr>
        <w:t>/pieczęć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i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w w:val="80"/>
          <w:sz w:val="20"/>
        </w:rPr>
        <w:t>podpis</w:t>
      </w:r>
      <w:r w:rsidRPr="007E4C76">
        <w:rPr>
          <w:rFonts w:ascii="Century Gothic" w:hAnsi="Century Gothic"/>
          <w:spacing w:val="-6"/>
          <w:sz w:val="20"/>
        </w:rPr>
        <w:t xml:space="preserve"> </w:t>
      </w:r>
      <w:r w:rsidRPr="007E4C76">
        <w:rPr>
          <w:rFonts w:ascii="Century Gothic" w:hAnsi="Century Gothic"/>
          <w:spacing w:val="-2"/>
          <w:w w:val="80"/>
          <w:sz w:val="20"/>
        </w:rPr>
        <w:t>lekarza/</w:t>
      </w:r>
    </w:p>
    <w:p w:rsidR="00904DBE" w:rsidRPr="00904DBE" w:rsidRDefault="00904DBE" w:rsidP="00904DBE">
      <w:pPr>
        <w:rPr>
          <w:rFonts w:ascii="Century Gothic" w:hAnsi="Century Gothic"/>
          <w:sz w:val="20"/>
        </w:rPr>
      </w:pPr>
    </w:p>
    <w:p w:rsidR="00904DBE" w:rsidRPr="00904DBE" w:rsidRDefault="00904DBE" w:rsidP="00904DBE">
      <w:pPr>
        <w:rPr>
          <w:rFonts w:ascii="Century Gothic" w:hAnsi="Century Gothic"/>
          <w:sz w:val="20"/>
        </w:rPr>
      </w:pPr>
    </w:p>
    <w:p w:rsidR="00904DBE" w:rsidRPr="00904DBE" w:rsidRDefault="00904DBE" w:rsidP="00904DBE">
      <w:pPr>
        <w:rPr>
          <w:rFonts w:ascii="Century Gothic" w:hAnsi="Century Gothic"/>
          <w:sz w:val="20"/>
        </w:rPr>
      </w:pPr>
    </w:p>
    <w:p w:rsidR="00904DBE" w:rsidRDefault="00904DBE" w:rsidP="00904DBE">
      <w:pPr>
        <w:jc w:val="both"/>
        <w:rPr>
          <w:rFonts w:ascii="Century Gothic" w:hAnsi="Century Gothic"/>
          <w:sz w:val="24"/>
          <w:szCs w:val="24"/>
        </w:rPr>
      </w:pPr>
    </w:p>
    <w:p w:rsidR="00904DBE" w:rsidRPr="007E4C76" w:rsidRDefault="00904DBE" w:rsidP="00904DBE">
      <w:pPr>
        <w:jc w:val="both"/>
        <w:rPr>
          <w:rFonts w:ascii="Century Gothic" w:hAnsi="Century Gothic"/>
          <w:sz w:val="24"/>
          <w:szCs w:val="24"/>
        </w:rPr>
      </w:pPr>
    </w:p>
    <w:p w:rsidR="00904DBE" w:rsidRPr="007E4C76" w:rsidRDefault="00904DBE" w:rsidP="00904DBE">
      <w:pPr>
        <w:jc w:val="both"/>
        <w:rPr>
          <w:rFonts w:ascii="Century Gothic" w:hAnsi="Century Gothic"/>
          <w:sz w:val="24"/>
          <w:szCs w:val="24"/>
        </w:rPr>
      </w:pPr>
      <w:r w:rsidRPr="007E4C76">
        <w:rPr>
          <w:rFonts w:ascii="Century Gothic" w:hAnsi="Century Gothic"/>
          <w:sz w:val="24"/>
          <w:szCs w:val="24"/>
        </w:rPr>
        <w:t>*niepotrzebne skreślić;</w:t>
      </w:r>
    </w:p>
    <w:sectPr w:rsidR="00904DBE" w:rsidRPr="007E4C76" w:rsidSect="001D3F7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586" w:rsidRDefault="00027586" w:rsidP="00E637FA">
      <w:pPr>
        <w:spacing w:after="0" w:line="240" w:lineRule="auto"/>
      </w:pPr>
      <w:r>
        <w:separator/>
      </w:r>
    </w:p>
  </w:endnote>
  <w:endnote w:type="continuationSeparator" w:id="0">
    <w:p w:rsidR="00027586" w:rsidRDefault="0002758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586" w:rsidRDefault="00027586" w:rsidP="00E637FA">
      <w:pPr>
        <w:spacing w:after="0" w:line="240" w:lineRule="auto"/>
      </w:pPr>
      <w:r>
        <w:separator/>
      </w:r>
    </w:p>
  </w:footnote>
  <w:footnote w:type="continuationSeparator" w:id="0">
    <w:p w:rsidR="00027586" w:rsidRDefault="0002758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8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10"/>
  </w:num>
  <w:num w:numId="10">
    <w:abstractNumId w:val="2"/>
  </w:num>
  <w:num w:numId="11">
    <w:abstractNumId w:val="9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237C5"/>
    <w:rsid w:val="00027586"/>
    <w:rsid w:val="00031704"/>
    <w:rsid w:val="00036DFD"/>
    <w:rsid w:val="000524AD"/>
    <w:rsid w:val="000650F9"/>
    <w:rsid w:val="0008262E"/>
    <w:rsid w:val="0008622E"/>
    <w:rsid w:val="000A79DF"/>
    <w:rsid w:val="000C3D85"/>
    <w:rsid w:val="000E2E28"/>
    <w:rsid w:val="000F1D5C"/>
    <w:rsid w:val="000F7FD1"/>
    <w:rsid w:val="001053ED"/>
    <w:rsid w:val="00116FEA"/>
    <w:rsid w:val="00126018"/>
    <w:rsid w:val="00140574"/>
    <w:rsid w:val="00145DF7"/>
    <w:rsid w:val="00157D16"/>
    <w:rsid w:val="00177E92"/>
    <w:rsid w:val="0019682E"/>
    <w:rsid w:val="001A2B64"/>
    <w:rsid w:val="001C1E80"/>
    <w:rsid w:val="001D3F7C"/>
    <w:rsid w:val="001E776E"/>
    <w:rsid w:val="001F22E5"/>
    <w:rsid w:val="0021385D"/>
    <w:rsid w:val="00217072"/>
    <w:rsid w:val="00221B02"/>
    <w:rsid w:val="00234411"/>
    <w:rsid w:val="002472E2"/>
    <w:rsid w:val="00250035"/>
    <w:rsid w:val="0026275A"/>
    <w:rsid w:val="002668AF"/>
    <w:rsid w:val="0028058B"/>
    <w:rsid w:val="0029151A"/>
    <w:rsid w:val="002C513D"/>
    <w:rsid w:val="002E5368"/>
    <w:rsid w:val="002E6C6D"/>
    <w:rsid w:val="002F5441"/>
    <w:rsid w:val="00310783"/>
    <w:rsid w:val="00314511"/>
    <w:rsid w:val="003273AF"/>
    <w:rsid w:val="00327C9D"/>
    <w:rsid w:val="00331C11"/>
    <w:rsid w:val="00332339"/>
    <w:rsid w:val="003D753E"/>
    <w:rsid w:val="003F34E5"/>
    <w:rsid w:val="004029A0"/>
    <w:rsid w:val="004134BA"/>
    <w:rsid w:val="00424D4A"/>
    <w:rsid w:val="0046603A"/>
    <w:rsid w:val="00480877"/>
    <w:rsid w:val="00486E27"/>
    <w:rsid w:val="00487AF5"/>
    <w:rsid w:val="004E3F4E"/>
    <w:rsid w:val="00504CFC"/>
    <w:rsid w:val="00504F94"/>
    <w:rsid w:val="00516E1D"/>
    <w:rsid w:val="0055171D"/>
    <w:rsid w:val="00553DA8"/>
    <w:rsid w:val="00570361"/>
    <w:rsid w:val="0057653A"/>
    <w:rsid w:val="0058293C"/>
    <w:rsid w:val="00592E0E"/>
    <w:rsid w:val="005A44A5"/>
    <w:rsid w:val="005A5F2B"/>
    <w:rsid w:val="005B1370"/>
    <w:rsid w:val="005B2CA2"/>
    <w:rsid w:val="005B7D22"/>
    <w:rsid w:val="005E2350"/>
    <w:rsid w:val="005F35AC"/>
    <w:rsid w:val="00602BA1"/>
    <w:rsid w:val="00612639"/>
    <w:rsid w:val="00620FB6"/>
    <w:rsid w:val="00621A09"/>
    <w:rsid w:val="00642BCB"/>
    <w:rsid w:val="0065276D"/>
    <w:rsid w:val="00696A42"/>
    <w:rsid w:val="006B2643"/>
    <w:rsid w:val="006B4649"/>
    <w:rsid w:val="006B79B7"/>
    <w:rsid w:val="006C434C"/>
    <w:rsid w:val="006C7FCA"/>
    <w:rsid w:val="006D0F11"/>
    <w:rsid w:val="006D1B93"/>
    <w:rsid w:val="006D6DBC"/>
    <w:rsid w:val="006E2796"/>
    <w:rsid w:val="006E7776"/>
    <w:rsid w:val="007015E6"/>
    <w:rsid w:val="007030E8"/>
    <w:rsid w:val="00712EAC"/>
    <w:rsid w:val="00712FA3"/>
    <w:rsid w:val="0073116D"/>
    <w:rsid w:val="00733A60"/>
    <w:rsid w:val="00742739"/>
    <w:rsid w:val="007543B0"/>
    <w:rsid w:val="0079417F"/>
    <w:rsid w:val="007A23E8"/>
    <w:rsid w:val="007C26F2"/>
    <w:rsid w:val="007C5A8C"/>
    <w:rsid w:val="007E4C76"/>
    <w:rsid w:val="007E5AA7"/>
    <w:rsid w:val="008274B3"/>
    <w:rsid w:val="00851556"/>
    <w:rsid w:val="008558C5"/>
    <w:rsid w:val="00872319"/>
    <w:rsid w:val="00881C5D"/>
    <w:rsid w:val="00885699"/>
    <w:rsid w:val="008B509F"/>
    <w:rsid w:val="00904DBE"/>
    <w:rsid w:val="00911441"/>
    <w:rsid w:val="00940239"/>
    <w:rsid w:val="00950D74"/>
    <w:rsid w:val="0098025B"/>
    <w:rsid w:val="0099722F"/>
    <w:rsid w:val="009B01A1"/>
    <w:rsid w:val="009D05C2"/>
    <w:rsid w:val="009D4214"/>
    <w:rsid w:val="00A118A4"/>
    <w:rsid w:val="00A33A61"/>
    <w:rsid w:val="00A40DE5"/>
    <w:rsid w:val="00A45954"/>
    <w:rsid w:val="00A92895"/>
    <w:rsid w:val="00AE25F1"/>
    <w:rsid w:val="00AE3CD0"/>
    <w:rsid w:val="00B03C98"/>
    <w:rsid w:val="00B44283"/>
    <w:rsid w:val="00B5377A"/>
    <w:rsid w:val="00B57213"/>
    <w:rsid w:val="00B720BF"/>
    <w:rsid w:val="00B72B1B"/>
    <w:rsid w:val="00B7352C"/>
    <w:rsid w:val="00B95868"/>
    <w:rsid w:val="00BA543E"/>
    <w:rsid w:val="00BC2165"/>
    <w:rsid w:val="00BC2382"/>
    <w:rsid w:val="00BC34CB"/>
    <w:rsid w:val="00BD4C52"/>
    <w:rsid w:val="00C00FDE"/>
    <w:rsid w:val="00C22D09"/>
    <w:rsid w:val="00C5741E"/>
    <w:rsid w:val="00C61847"/>
    <w:rsid w:val="00C67E59"/>
    <w:rsid w:val="00CA7FC6"/>
    <w:rsid w:val="00CB6C70"/>
    <w:rsid w:val="00CC18E6"/>
    <w:rsid w:val="00CC7C46"/>
    <w:rsid w:val="00CF2E8C"/>
    <w:rsid w:val="00D100BE"/>
    <w:rsid w:val="00D1790F"/>
    <w:rsid w:val="00D3554B"/>
    <w:rsid w:val="00D40D61"/>
    <w:rsid w:val="00D51DF5"/>
    <w:rsid w:val="00D77350"/>
    <w:rsid w:val="00D9070B"/>
    <w:rsid w:val="00D95990"/>
    <w:rsid w:val="00DA38EC"/>
    <w:rsid w:val="00DA66F1"/>
    <w:rsid w:val="00DB6E28"/>
    <w:rsid w:val="00DB6EB4"/>
    <w:rsid w:val="00DC055E"/>
    <w:rsid w:val="00DE014C"/>
    <w:rsid w:val="00E05F67"/>
    <w:rsid w:val="00E06A2C"/>
    <w:rsid w:val="00E07ECE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4C4B"/>
    <w:rsid w:val="00EC59BF"/>
    <w:rsid w:val="00F23353"/>
    <w:rsid w:val="00F40E6E"/>
    <w:rsid w:val="00F463E3"/>
    <w:rsid w:val="00F737EF"/>
    <w:rsid w:val="00F76593"/>
    <w:rsid w:val="00FB384F"/>
    <w:rsid w:val="00FC3CEF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557E1-9732-40A7-B043-904A1913A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6</Pages>
  <Words>1645</Words>
  <Characters>9872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79</cp:revision>
  <cp:lastPrinted>2024-07-26T10:23:00Z</cp:lastPrinted>
  <dcterms:created xsi:type="dcterms:W3CDTF">2025-12-12T13:03:00Z</dcterms:created>
  <dcterms:modified xsi:type="dcterms:W3CDTF">2026-01-28T10:03:00Z</dcterms:modified>
</cp:coreProperties>
</file>