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BA5ECB" w:rsidRDefault="00B57213" w:rsidP="0060710C">
      <w:pPr>
        <w:spacing w:line="200" w:lineRule="exact"/>
        <w:ind w:left="-851"/>
        <w:jc w:val="both"/>
        <w:rPr>
          <w:sz w:val="20"/>
          <w:szCs w:val="20"/>
        </w:rPr>
      </w:pPr>
    </w:p>
    <w:p w:rsidR="00E7219D" w:rsidRPr="00BA5ECB" w:rsidRDefault="0010050F" w:rsidP="0060710C">
      <w:pPr>
        <w:tabs>
          <w:tab w:val="left" w:pos="6645"/>
        </w:tabs>
        <w:spacing w:line="200" w:lineRule="exact"/>
        <w:ind w:left="-851" w:firstLine="142"/>
        <w:jc w:val="right"/>
        <w:rPr>
          <w:rFonts w:ascii="Century Gothic" w:hAnsi="Century Gothic"/>
          <w:b/>
          <w:sz w:val="20"/>
          <w:szCs w:val="20"/>
        </w:rPr>
      </w:pPr>
      <w:r w:rsidRPr="00BA5ECB">
        <w:rPr>
          <w:rFonts w:ascii="Century Gothic" w:hAnsi="Century Gothic"/>
          <w:b/>
          <w:sz w:val="20"/>
          <w:szCs w:val="20"/>
        </w:rPr>
        <w:t>PR4_F381_w3</w:t>
      </w:r>
    </w:p>
    <w:p w:rsidR="00E7219D" w:rsidRPr="00BA5ECB" w:rsidRDefault="00735429" w:rsidP="0060710C">
      <w:pPr>
        <w:spacing w:after="0" w:line="200" w:lineRule="exact"/>
        <w:ind w:left="-851"/>
        <w:rPr>
          <w:rFonts w:ascii="Century Gothic" w:hAnsi="Century Gothic"/>
          <w:sz w:val="20"/>
          <w:szCs w:val="20"/>
          <w:u w:val="single"/>
        </w:rPr>
      </w:pPr>
      <w:r w:rsidRPr="00BA5ECB">
        <w:rPr>
          <w:rFonts w:ascii="Century Gothic" w:hAnsi="Century Gothic"/>
          <w:sz w:val="20"/>
          <w:szCs w:val="20"/>
          <w:u w:val="single"/>
        </w:rPr>
        <w:t xml:space="preserve">Klinika </w:t>
      </w:r>
      <w:r w:rsidR="00FB640B" w:rsidRPr="00BA5ECB">
        <w:rPr>
          <w:rFonts w:ascii="Century Gothic" w:hAnsi="Century Gothic"/>
          <w:sz w:val="20"/>
          <w:szCs w:val="20"/>
          <w:u w:val="single"/>
        </w:rPr>
        <w:t>Angiologii</w:t>
      </w:r>
    </w:p>
    <w:p w:rsidR="00735429" w:rsidRPr="00BA5ECB" w:rsidRDefault="00735429" w:rsidP="0060710C">
      <w:pPr>
        <w:spacing w:after="0" w:line="200" w:lineRule="exact"/>
        <w:ind w:left="-851"/>
        <w:jc w:val="center"/>
        <w:rPr>
          <w:rFonts w:ascii="Century Gothic" w:hAnsi="Century Gothic"/>
          <w:b/>
          <w:sz w:val="20"/>
          <w:szCs w:val="20"/>
        </w:rPr>
      </w:pPr>
      <w:r w:rsidRPr="00BA5ECB">
        <w:rPr>
          <w:rFonts w:ascii="Century Gothic" w:hAnsi="Century Gothic"/>
          <w:b/>
          <w:sz w:val="20"/>
          <w:szCs w:val="20"/>
        </w:rPr>
        <w:t>INFORMACJA DLA PACJENTA ORAZ FORMULARZ ŚWIADOMEJ ZGODY</w:t>
      </w:r>
      <w:r w:rsidR="00FB640B" w:rsidRPr="00BA5ECB">
        <w:rPr>
          <w:rFonts w:ascii="Century Gothic" w:hAnsi="Century Gothic"/>
          <w:b/>
          <w:sz w:val="20"/>
          <w:szCs w:val="20"/>
        </w:rPr>
        <w:t xml:space="preserve"> NA</w:t>
      </w:r>
    </w:p>
    <w:p w:rsidR="00735429" w:rsidRDefault="00FB640B" w:rsidP="0060710C">
      <w:pPr>
        <w:spacing w:after="0" w:line="200" w:lineRule="exact"/>
        <w:ind w:left="-851"/>
        <w:jc w:val="center"/>
        <w:rPr>
          <w:rFonts w:ascii="Century Gothic" w:hAnsi="Century Gothic"/>
          <w:b/>
          <w:sz w:val="20"/>
          <w:szCs w:val="20"/>
        </w:rPr>
      </w:pPr>
      <w:r w:rsidRPr="00BA5ECB">
        <w:rPr>
          <w:rFonts w:ascii="Century Gothic" w:hAnsi="Century Gothic"/>
          <w:b/>
          <w:sz w:val="20"/>
          <w:szCs w:val="20"/>
        </w:rPr>
        <w:t>ZABIEG WEWNĄTRZNACZYNIOWY NA TĘTNICACH KONCZYN DOLNYCH LUB GÓRNYCH*</w:t>
      </w:r>
    </w:p>
    <w:p w:rsidR="00B77395" w:rsidRPr="00BA5ECB" w:rsidRDefault="00B77395" w:rsidP="0060710C">
      <w:pPr>
        <w:spacing w:after="0" w:line="200" w:lineRule="exact"/>
        <w:ind w:left="-851"/>
        <w:jc w:val="center"/>
        <w:rPr>
          <w:rFonts w:ascii="Century Gothic" w:hAnsi="Century Gothic"/>
          <w:b/>
          <w:sz w:val="20"/>
          <w:szCs w:val="20"/>
        </w:rPr>
      </w:pPr>
    </w:p>
    <w:p w:rsidR="00735429" w:rsidRPr="00362640" w:rsidRDefault="00735429" w:rsidP="0060710C">
      <w:pPr>
        <w:spacing w:after="0" w:line="200" w:lineRule="exact"/>
        <w:ind w:left="-851"/>
        <w:jc w:val="both"/>
        <w:rPr>
          <w:rFonts w:ascii="Times New Roman" w:hAnsi="Times New Roman" w:cs="Times New Roman"/>
          <w:b/>
          <w:sz w:val="20"/>
          <w:szCs w:val="20"/>
        </w:rPr>
      </w:pPr>
      <w:r w:rsidRPr="00362640">
        <w:rPr>
          <w:rFonts w:ascii="Times New Roman" w:hAnsi="Times New Roman" w:cs="Times New Roman"/>
          <w:b/>
          <w:sz w:val="20"/>
          <w:szCs w:val="20"/>
        </w:rPr>
        <w:t>Imię i nazwisko:</w:t>
      </w:r>
      <w:r w:rsidRPr="00362640">
        <w:rPr>
          <w:rFonts w:ascii="Times New Roman" w:hAnsi="Times New Roman" w:cs="Times New Roman"/>
          <w:sz w:val="20"/>
          <w:szCs w:val="20"/>
        </w:rPr>
        <w:t xml:space="preserve"> </w:t>
      </w:r>
    </w:p>
    <w:p w:rsidR="00735429" w:rsidRPr="00362640" w:rsidRDefault="00735429" w:rsidP="0060710C">
      <w:pPr>
        <w:spacing w:after="0" w:line="200" w:lineRule="exact"/>
        <w:ind w:left="-851"/>
        <w:jc w:val="both"/>
        <w:rPr>
          <w:rFonts w:ascii="Times New Roman" w:hAnsi="Times New Roman" w:cs="Times New Roman"/>
          <w:b/>
          <w:sz w:val="20"/>
          <w:szCs w:val="20"/>
        </w:rPr>
      </w:pPr>
      <w:r w:rsidRPr="00362640">
        <w:rPr>
          <w:rFonts w:ascii="Times New Roman" w:hAnsi="Times New Roman" w:cs="Times New Roman"/>
          <w:b/>
          <w:sz w:val="20"/>
          <w:szCs w:val="20"/>
        </w:rPr>
        <w:t xml:space="preserve">PESEL: </w:t>
      </w:r>
    </w:p>
    <w:p w:rsidR="00E06DD9" w:rsidRPr="00362640" w:rsidRDefault="00735429" w:rsidP="00E06DD9">
      <w:pPr>
        <w:spacing w:after="0" w:line="200" w:lineRule="exact"/>
        <w:ind w:left="-851"/>
        <w:jc w:val="both"/>
        <w:rPr>
          <w:rFonts w:ascii="Times New Roman" w:hAnsi="Times New Roman" w:cs="Times New Roman"/>
          <w:b/>
          <w:sz w:val="20"/>
          <w:szCs w:val="20"/>
        </w:rPr>
      </w:pPr>
      <w:r w:rsidRPr="00362640">
        <w:rPr>
          <w:rFonts w:ascii="Times New Roman" w:hAnsi="Times New Roman" w:cs="Times New Roman"/>
          <w:b/>
          <w:sz w:val="20"/>
          <w:szCs w:val="20"/>
        </w:rPr>
        <w:t xml:space="preserve">Nr ks. gł.: </w:t>
      </w:r>
    </w:p>
    <w:p w:rsidR="00FB640B" w:rsidRPr="00362640" w:rsidRDefault="00FB640B" w:rsidP="00E06DD9">
      <w:pPr>
        <w:spacing w:after="0" w:line="200" w:lineRule="exact"/>
        <w:ind w:left="-851"/>
        <w:jc w:val="both"/>
        <w:rPr>
          <w:rFonts w:ascii="Times New Roman" w:hAnsi="Times New Roman" w:cs="Times New Roman"/>
          <w:b/>
          <w:sz w:val="20"/>
          <w:szCs w:val="20"/>
        </w:rPr>
      </w:pPr>
      <w:r w:rsidRPr="00362640">
        <w:rPr>
          <w:rFonts w:ascii="Times New Roman" w:hAnsi="Times New Roman" w:cs="Times New Roman"/>
          <w:b/>
          <w:sz w:val="20"/>
          <w:szCs w:val="20"/>
        </w:rPr>
        <w:t>1. INFORMACJA O ROZPOZNANIU</w:t>
      </w:r>
    </w:p>
    <w:p w:rsidR="00FB640B" w:rsidRPr="00362640" w:rsidRDefault="00FB640B" w:rsidP="0060710C">
      <w:pPr>
        <w:spacing w:after="0" w:line="200" w:lineRule="exact"/>
        <w:ind w:left="-851"/>
        <w:jc w:val="both"/>
        <w:rPr>
          <w:rFonts w:ascii="Times New Roman" w:hAnsi="Times New Roman" w:cs="Times New Roman"/>
          <w:strike/>
          <w:sz w:val="20"/>
          <w:szCs w:val="20"/>
        </w:rPr>
      </w:pPr>
      <w:r w:rsidRPr="00362640">
        <w:rPr>
          <w:rFonts w:ascii="Times New Roman" w:hAnsi="Times New Roman" w:cs="Times New Roman"/>
          <w:sz w:val="20"/>
          <w:szCs w:val="20"/>
        </w:rPr>
        <w:t>Na podstawie przeprowadzonych dotychczas badań rozpoznano u Pana/Pani:</w:t>
      </w:r>
    </w:p>
    <w:p w:rsidR="00FB640B" w:rsidRPr="00362640" w:rsidRDefault="00FB640B" w:rsidP="0060710C">
      <w:pPr>
        <w:spacing w:after="0" w:line="200" w:lineRule="exact"/>
        <w:ind w:left="-851"/>
        <w:jc w:val="both"/>
        <w:rPr>
          <w:rFonts w:ascii="Times New Roman" w:hAnsi="Times New Roman" w:cs="Times New Roman"/>
          <w:bCs/>
          <w:i/>
          <w:iCs/>
          <w:sz w:val="20"/>
          <w:szCs w:val="20"/>
        </w:rPr>
      </w:pPr>
      <w:r w:rsidRPr="00362640">
        <w:rPr>
          <w:rFonts w:ascii="Times New Roman" w:hAnsi="Times New Roman" w:cs="Times New Roman"/>
          <w:bCs/>
          <w:i/>
          <w:iCs/>
          <w:sz w:val="20"/>
          <w:szCs w:val="20"/>
        </w:rPr>
        <w:t xml:space="preserve">Ostre niedokrwienie kończyn dolnych/ górnych </w:t>
      </w:r>
    </w:p>
    <w:p w:rsidR="00735429" w:rsidRPr="00362640" w:rsidRDefault="00FB640B"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bCs/>
          <w:i/>
          <w:iCs/>
          <w:sz w:val="20"/>
          <w:szCs w:val="20"/>
        </w:rPr>
        <w:t>Przewlekłe niedokrwienie kończyn dolnych pod postacią chromania przestankowego / przewlekłego niedokrwienia zagrażającego utratą kończyny (tzw. niedokrwienia krytycznego)) dolnej lub górnej* - niepotrzebne skreślić</w:t>
      </w:r>
    </w:p>
    <w:p w:rsidR="00FB640B" w:rsidRPr="00362640" w:rsidRDefault="00FB640B"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b/>
          <w:sz w:val="20"/>
          <w:szCs w:val="20"/>
        </w:rPr>
        <w:t>2</w:t>
      </w:r>
      <w:r w:rsidR="00735429" w:rsidRPr="00362640">
        <w:rPr>
          <w:rFonts w:ascii="Times New Roman" w:hAnsi="Times New Roman" w:cs="Times New Roman"/>
          <w:b/>
          <w:sz w:val="20"/>
          <w:szCs w:val="20"/>
        </w:rPr>
        <w:t>. PROPONOWANY SPOSÓB LECZENIA</w:t>
      </w:r>
    </w:p>
    <w:p w:rsidR="00735429" w:rsidRPr="00362640" w:rsidRDefault="00FB640B"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Leczenie wewnątrznaczyniowe (przezskórne) niedokrwienia kończyn dolnych lub górnych polega na udrożnieniu/ poszerzeniu światła naczynia drogą jego nakłucia przez skórę cienką igłą. Leczenie to stosuje się zarówno u pacjenta z ostrym niedokrwieniem kończyn (przeważnie dolnych, ale także górnych), jak i u pacjenta z objawami niedokrwienia kończyn trwającymi dłużej (&gt; 14 dni). W przypadku ostrego niedokrwienia tętniczego zabieg polega najpierw na usunięciu skrzepu krwi za pomocą technik mechanicznych (trombektomia poprzez odessanie, rozkawałkowanie i odprowadzenie na zewnątrz), rozcieńczających skrzeplinę (hemodylucja) lub ją rozpuszczających (tromboliza lokalna). Czasem metody te wymagają łączenia, a zabieg podawania leku trombolitycznego rozpuszczającego zakrzep może się przedłużyć i trwać 12-48h. Po udrożnieniu światła naczynia często potrzebny jest drugi etap zabiegu związany z zabezpieczeniem jego zwężenia (przeważnie stentowanie). Tylko czasem wszystkie procedury można wykonać podczas jednej interwencji. Ostre niedokrwienie kończyny jest zawsze stanem zagrożenia jej utratą, ale nie zawsze interwencja musi być przeprowadzona w dniu przyjęcia. Nie można wykluczyć, że pacjent z ostrym niedokrwieniem będzie wymagał amputacji kończyny lub innej interwencji chirurgicznej, ale w tym przypadku potrzebna będzie Pana/ Pani osobna zgoda. W przypadku przewlekłego niedokrwienia kończyn (objawy &gt;14 dni) pacjenta kwalifikuje się do zabiegu wewnątrznaczyniowego na kończynach dolnych lub górnych wtedy gdy pozwala na to stan kończyny, zaawansowanie chorób współistniejących oraz warunki anatomiczne unaczynienia kończyn. U pacjenta z niedokrwieniem zagrażającym utratą kończyny celem zabiegu jest poprawa dopływu krwi do kończyny i uniknięcia amputacji kończyny, zmniejszenia jej zakresu, ustąpienia bólu i wygojenia ran. Natomiast u pacjenta z chromaniem przestankowym zabieg wykonuje się, gdy wyczerpano już możliwości leczenia farmakologicznego, kontroli czynników ryzyka (m.in. rzucenia palenia tytoniu) i rehabilitacji (trening marszowy, dedykowane ćwiczenia) w celu wydłużenia dystansu marszu bez bólu i poprawy jakości życia. Zabieg wewnątrznaczyniowy można wykonać w naczyniu do tej pory niepoddawanym zabiegowi albo z powodu nawrotu zwężenia, np. w stencie. Wskazaniem do jego wykonania może być także rozpoznane wcześniej poszerzenie światła naczynia (tzw. tętniak).</w:t>
      </w:r>
    </w:p>
    <w:p w:rsidR="00FB640B" w:rsidRPr="00362640" w:rsidRDefault="00735429"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b/>
          <w:sz w:val="20"/>
          <w:szCs w:val="20"/>
          <w:u w:val="single"/>
        </w:rPr>
        <w:t>OPIS PROCEDURY ZABIEGOWEJ:</w:t>
      </w:r>
    </w:p>
    <w:p w:rsidR="00FB640B" w:rsidRPr="00362640" w:rsidRDefault="00FB640B"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xml:space="preserve">Zabieg wewnątrznaczyniowy na tętnicach kończyn dolnych lub górnych wymaga zwykle znieczulenia miejscowego w miejscu dostępu naczyniowego. Zabieg jest przeprowadzany w warunkach sali operacyjnej lub pracowni radiologii zabiegowej z zachowaniem zasad aseptyki. Pacjent jest ułożony na stole operacyjnym w odpowiedniej pozycji, a obszar dostępu do naczynia (zwykle pachwina- tętnica udowa, ale także okolica pachy lub dołu łokciowego- tętnica ramienna lub nadgarstka- tętnica promieniowa) jest dezynfekowany i obłożony sterylnym, jednorazowym materiałem z okienkiem w miejscu dostępu do Pana/ Pani układu naczyniowego. Następnie operator, przeważnie pod kontrolą USG, nakłuwa tętnicę, wprowadza prowadnik, a następnie introduktor naczyniowy (tzw. koszulkę naczyniową). Może to być okolica odległa od kończyny leczonej (np. przeciwległa pachwina, okolica dołu pachowego lub nadgarstka). Czasem potrzebny niestandardowy dostęp naczyniowy albo jednocześnie 2, a nawet 3 dostępy do układu tętniczego, np. poprzez nakłucie tętnicy na udzie (poniżej pachwiny), pod kolanem, w okolicy stawu skokowego (dostęp obwodowy, wsteczny). Na początku zabiegu wykonywana jest angiografia, która jest badaniem rentgenowskim naczyń krwionośnych z wykorzystaniem środków kontrastowych (tradycyjne, jodowe lub dwutlenek węgla) umożliwiających obrazowanie przepływu krwi w Pana/ Pani naczyniach krwionośnych. Podczas podawania środka kontrastowego poczujecie Państwo rozprzestrzeniające się ciepło lub wrażenie rozpierania w badanej okolicy (dwutlenek węgla). Czasem badanie angiograficzne jest uzupełniane ultrasonografią wewnątrznaczyniową (IVUS) lub USG przez powierzchnię skóry (EVUS). Po ocenie naczyń, operator przeprowadza prowadnik (drucik) przez zmienione chorobowo naczynia, a następnie po prowadniku wprowadza specjalne narzędzia, przy pomocy których przywracany jest przepływ krwi. Zwykle są to cewniki balonowe, które poprzez wypełnianie płynem pod ciśnieniem powodują poszerzenie światła naczynia. Dodatkowo czasem wymagane jest: </w:t>
      </w:r>
    </w:p>
    <w:p w:rsidR="00FB640B" w:rsidRPr="00362640" w:rsidRDefault="00FB640B" w:rsidP="0060710C">
      <w:pPr>
        <w:pStyle w:val="Akapitzlist"/>
        <w:numPr>
          <w:ilvl w:val="0"/>
          <w:numId w:val="1"/>
        </w:numPr>
        <w:spacing w:after="0" w:line="200" w:lineRule="exact"/>
        <w:ind w:left="-851" w:hanging="283"/>
        <w:jc w:val="both"/>
        <w:rPr>
          <w:rFonts w:ascii="Times New Roman" w:hAnsi="Times New Roman" w:cs="Times New Roman"/>
          <w:sz w:val="20"/>
          <w:szCs w:val="20"/>
        </w:rPr>
      </w:pPr>
      <w:r w:rsidRPr="00362640">
        <w:rPr>
          <w:rFonts w:ascii="Times New Roman" w:hAnsi="Times New Roman" w:cs="Times New Roman"/>
          <w:sz w:val="20"/>
          <w:szCs w:val="20"/>
        </w:rPr>
        <w:t>wszczepienie stentu (sprężynki ze specjalnych stopów metali lub substancji rozpuszczających się z czasem- biodegradowalnych) mające na celu zapobieżenie zapadaniu się ściany naczynia; w pewnych sytuacjach, szczególnie przy kolejnych interwencjach, mogą być wykorzystywane technologie uwalniające lek antyproliferacyjny (balon-DEB, DCB i/lub stent-DES), który spowalnia wrastanie komórek ściany naczynia w stent (tzw. restenozę w stencie).</w:t>
      </w:r>
    </w:p>
    <w:p w:rsidR="00FB640B" w:rsidRPr="00362640" w:rsidRDefault="00FB640B" w:rsidP="0060710C">
      <w:pPr>
        <w:pStyle w:val="Akapitzlist"/>
        <w:numPr>
          <w:ilvl w:val="0"/>
          <w:numId w:val="1"/>
        </w:numPr>
        <w:spacing w:after="0" w:line="200" w:lineRule="exact"/>
        <w:ind w:left="-851" w:hanging="283"/>
        <w:jc w:val="both"/>
        <w:rPr>
          <w:rFonts w:ascii="Times New Roman" w:hAnsi="Times New Roman" w:cs="Times New Roman"/>
          <w:sz w:val="20"/>
          <w:szCs w:val="20"/>
        </w:rPr>
      </w:pPr>
      <w:r w:rsidRPr="00362640">
        <w:rPr>
          <w:rFonts w:ascii="Times New Roman" w:hAnsi="Times New Roman" w:cs="Times New Roman"/>
          <w:sz w:val="20"/>
          <w:szCs w:val="20"/>
        </w:rPr>
        <w:t>usunięcie/rozpuszczenie skrzepliny (trombektomia, tromboliza) lub blaszki miażdżycowej (aterektomia rotacyjna, orbitalna, ssąca, kierunkowa lub laserowa) wypełniającej światło naczynia, czasem związane z koniecznością założenia specjalnego filtru (koszyczka) do światła naczynia za leczoną zmianą lub cewnika doprowadzającego lek rozpuszczający skrzepliny (tromboliza). Procedura ta może trwać 12-24 godzin i jest związana zarówno z koniecznością dłuższego leżenia, ryzykiem zakażenia cewnika oraz wystąpienia powikłań krwotocznych, czasem zagrażających życiu i zdrowiu (krwawienie do mózgu, oka, krwawienie do jam ciała, krwiak uciskający na nerw [pachwina] lub sploty nerwowe, np. w okolicy tętnicy ramiennej/ pachowej), związanych z działaniem leków rozpuszczających skrzep (trombolityków), jak i leków przeciwzakrzepowych (heparyna, leki przeciwpłytkowe). Po zabiegu trombolizy zwykle trzeba dodatkowo zabezpieczyć miejsce, które było powodem powstania skrzepliny w naczyniu krwionośnym (drugi zabieg przez ten sam dostęp, przeważnie następnego dnia).</w:t>
      </w:r>
    </w:p>
    <w:p w:rsidR="00B307B4" w:rsidRPr="00362640" w:rsidRDefault="00FB640B" w:rsidP="0060710C">
      <w:pPr>
        <w:pStyle w:val="Akapitzlist"/>
        <w:numPr>
          <w:ilvl w:val="0"/>
          <w:numId w:val="1"/>
        </w:numPr>
        <w:spacing w:after="0" w:line="200" w:lineRule="exact"/>
        <w:ind w:left="-851" w:hanging="283"/>
        <w:jc w:val="both"/>
        <w:rPr>
          <w:rFonts w:ascii="Times New Roman" w:hAnsi="Times New Roman" w:cs="Times New Roman"/>
          <w:sz w:val="20"/>
          <w:szCs w:val="20"/>
        </w:rPr>
      </w:pPr>
      <w:r w:rsidRPr="00362640">
        <w:rPr>
          <w:rFonts w:ascii="Times New Roman" w:hAnsi="Times New Roman" w:cs="Times New Roman"/>
          <w:sz w:val="20"/>
          <w:szCs w:val="20"/>
        </w:rPr>
        <w:t xml:space="preserve">skruszenie zwapnień w ścianie naczynia w celu poprawy jego podatności na poszerzanie (za pomocą tzw. litotrypsji wewnątrznaczyniowej- IVL, balonu tnącego, aterektomii, kruszenia zwapnień naczyniowych igłą przez skórę). Niestety, każda z wymienionych procedur wewnątrznaczyniowych, dodatkowe nakłucia naczyń, większe profile dostępów naczyniowych wiążą się z większym ryzykiem powikłań miejscowych i ogólnoustrojowych, opisanych w dalszej części formularza. </w:t>
      </w:r>
    </w:p>
    <w:p w:rsidR="00B307B4" w:rsidRPr="00362640" w:rsidRDefault="00735429" w:rsidP="0060710C">
      <w:pPr>
        <w:spacing w:after="0" w:line="200" w:lineRule="exact"/>
        <w:ind w:left="-851"/>
        <w:jc w:val="both"/>
        <w:rPr>
          <w:rFonts w:ascii="Times New Roman" w:hAnsi="Times New Roman" w:cs="Times New Roman"/>
          <w:b/>
          <w:i/>
          <w:sz w:val="20"/>
          <w:szCs w:val="20"/>
          <w:u w:val="single"/>
        </w:rPr>
      </w:pPr>
      <w:r w:rsidRPr="00362640">
        <w:rPr>
          <w:rFonts w:ascii="Times New Roman" w:hAnsi="Times New Roman" w:cs="Times New Roman"/>
          <w:sz w:val="20"/>
          <w:szCs w:val="20"/>
          <w:u w:val="single"/>
        </w:rPr>
        <w:lastRenderedPageBreak/>
        <w:t xml:space="preserve"> </w:t>
      </w:r>
      <w:bookmarkStart w:id="0" w:name="_Hlk193255800"/>
      <w:r w:rsidRPr="00362640">
        <w:rPr>
          <w:rFonts w:ascii="Times New Roman" w:hAnsi="Times New Roman" w:cs="Times New Roman"/>
          <w:b/>
          <w:sz w:val="20"/>
          <w:szCs w:val="20"/>
          <w:u w:val="single"/>
        </w:rPr>
        <w:t>KONIECZNOŚĆ ZMIANY/ ROZSZERZENIA ZABIEGU OPERACYJNEGO PODCZAS JEGO TRWANIA:</w:t>
      </w:r>
      <w:bookmarkEnd w:id="0"/>
    </w:p>
    <w:p w:rsidR="00A45C65" w:rsidRPr="00362640" w:rsidRDefault="00B307B4" w:rsidP="0060710C">
      <w:pPr>
        <w:spacing w:after="0" w:line="200" w:lineRule="exact"/>
        <w:ind w:left="-851"/>
        <w:jc w:val="both"/>
        <w:rPr>
          <w:rFonts w:ascii="Times New Roman" w:hAnsi="Times New Roman" w:cs="Times New Roman"/>
          <w:b/>
          <w:i/>
          <w:sz w:val="20"/>
          <w:szCs w:val="20"/>
          <w:u w:val="single"/>
        </w:rPr>
      </w:pPr>
      <w:r w:rsidRPr="00362640">
        <w:rPr>
          <w:rFonts w:ascii="Times New Roman" w:hAnsi="Times New Roman" w:cs="Times New Roman"/>
          <w:sz w:val="20"/>
          <w:szCs w:val="20"/>
        </w:rPr>
        <w:t xml:space="preserve">W trakcie zabiegu mogą wystąpić nieprzewidziane okoliczności (np. wystąpienie krwawienia, zatoru, rozwarstwienia, pęknięcia tętnicy), wymagające zmiany zakresu lub rozszerzenia procedury, co może obejmować konieczność wykonania dodatkowego nakłucia, innego rodzaju interwencji wewnątrznaczyniowej lub otwartej operacji naczyniowej. Ostateczna decyzja o zakresie przeprowadzanego zabiegu i jego zakresie będzie podejmowana przez lekarza prowadzącego/ wykonującego zabieg w oparciu o Pana/ Pani stan kliniczny oraz występujące warunki anatomiczne. Lekarz poinformuje Pana/Panią o tym przed zabiegiem, a w przypadkach niestandardowych, także podczas zabiegu i wyjaśni konieczność jego rozszerzenia, ponieważ zabieg wykonywany w znieczuleniu miejscowym daje taka możliwość. Będziecie Państwo proszeni o wyrażenie zgody ustnej na rozszerzenie zabiegu. Po zakończeniu procedury i uzyskaniu wskaźników powrotu prawidłowego krzepnięcia krwi, introduktor jest usuwany a miejsce wkłucia uciskane do chwili ustania krwawienia. Następnie zakładany jest opatrunek uciskowy. W czasie trwania ucisku konieczne jest unieruchomienie nakłuwanej kończyny, co oznacza najczęściej konieczność leżenia na plecach przez 12-16 godzin. W przypadku odpowiedniego stanu naczynia miejsce wkłucia może zostać zamknięte przy pomocy okludera (szwu lub specjalnego korka), który powoduje natychmiastowe zamknięcie otworu w naczyniu, dzięki czemu czas unieruchomienia może być nieco krótszy. W tym przypadku także istnieje konieczność założenia opatrunku uciskowego i leżenia przynajmniej przez 4-6 godzin, zależnie od decyzji operatora, oceniającego skuteczność zamknięcia naczynia. </w:t>
      </w:r>
    </w:p>
    <w:p w:rsidR="00A45C65" w:rsidRPr="00362640" w:rsidRDefault="00A45C65" w:rsidP="0060710C">
      <w:pPr>
        <w:spacing w:after="0" w:line="200" w:lineRule="exact"/>
        <w:ind w:left="-851"/>
        <w:jc w:val="both"/>
        <w:rPr>
          <w:rFonts w:ascii="Times New Roman" w:hAnsi="Times New Roman" w:cs="Times New Roman"/>
          <w:b/>
          <w:i/>
          <w:sz w:val="20"/>
          <w:szCs w:val="20"/>
          <w:u w:val="single"/>
        </w:rPr>
      </w:pPr>
      <w:r w:rsidRPr="00362640">
        <w:rPr>
          <w:rFonts w:ascii="Times New Roman" w:hAnsi="Times New Roman" w:cs="Times New Roman"/>
          <w:b/>
          <w:sz w:val="20"/>
          <w:szCs w:val="20"/>
        </w:rPr>
        <w:t>ZALECENIA OKOŁOZABIEGOWE:</w:t>
      </w:r>
    </w:p>
    <w:p w:rsidR="00A83918" w:rsidRPr="00362640" w:rsidRDefault="00A45C65"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b/>
          <w:sz w:val="20"/>
          <w:szCs w:val="20"/>
        </w:rPr>
        <w:t>Przed zabiegiem zostaną wykonane:</w:t>
      </w:r>
      <w:r w:rsidRPr="00362640">
        <w:rPr>
          <w:rFonts w:ascii="Times New Roman" w:hAnsi="Times New Roman" w:cs="Times New Roman"/>
          <w:b/>
          <w:i/>
          <w:sz w:val="20"/>
          <w:szCs w:val="20"/>
          <w:u w:val="single"/>
        </w:rPr>
        <w:t xml:space="preserve"> </w:t>
      </w:r>
      <w:r w:rsidRPr="00362640">
        <w:rPr>
          <w:rFonts w:ascii="Times New Roman" w:hAnsi="Times New Roman" w:cs="Times New Roman"/>
          <w:sz w:val="20"/>
          <w:szCs w:val="20"/>
        </w:rPr>
        <w:t xml:space="preserve">badania diagnostyczne: (badania laboratoryjne, EKG, USG, tomografia, angiografia), które pozwolą na dokładną ocenę stanu zdrowia. </w:t>
      </w:r>
    </w:p>
    <w:p w:rsidR="00A45C65" w:rsidRPr="00362640" w:rsidRDefault="00A45C65" w:rsidP="0060710C">
      <w:pPr>
        <w:tabs>
          <w:tab w:val="left" w:pos="-284"/>
        </w:tabs>
        <w:spacing w:after="0" w:line="200" w:lineRule="exact"/>
        <w:ind w:left="-851"/>
        <w:jc w:val="both"/>
        <w:rPr>
          <w:rFonts w:ascii="Times New Roman" w:hAnsi="Times New Roman" w:cs="Times New Roman"/>
          <w:sz w:val="20"/>
          <w:szCs w:val="20"/>
        </w:rPr>
      </w:pPr>
      <w:r w:rsidRPr="00362640">
        <w:rPr>
          <w:rFonts w:ascii="Times New Roman" w:hAnsi="Times New Roman" w:cs="Times New Roman"/>
          <w:b/>
          <w:bCs/>
          <w:sz w:val="20"/>
          <w:szCs w:val="20"/>
        </w:rPr>
        <w:t>Zalecenia dla Pacjenta przed zabiegiem:</w:t>
      </w:r>
    </w:p>
    <w:p w:rsidR="00A45C65" w:rsidRPr="00362640" w:rsidRDefault="00A45C65" w:rsidP="0060710C">
      <w:pPr>
        <w:spacing w:after="0" w:line="200" w:lineRule="exact"/>
        <w:ind w:left="-851"/>
        <w:jc w:val="both"/>
        <w:rPr>
          <w:rFonts w:ascii="Times New Roman" w:hAnsi="Times New Roman" w:cs="Times New Roman"/>
          <w:sz w:val="20"/>
          <w:szCs w:val="20"/>
        </w:rPr>
      </w:pPr>
      <w:bookmarkStart w:id="1" w:name="_Hlk194942808"/>
      <w:r w:rsidRPr="00362640">
        <w:rPr>
          <w:rFonts w:ascii="Times New Roman" w:hAnsi="Times New Roman" w:cs="Times New Roman"/>
          <w:sz w:val="20"/>
          <w:szCs w:val="20"/>
        </w:rPr>
        <w:t xml:space="preserve">- pacjent powinien usunąć owłosienie łonowe, pachowe oraz umyć całe ciało, szczególnie okolice dostępu naczyniowego (pachwiny, pachy), aby zmniejszyć ryzyko zakażenia, w zabiegach tych może pomóc pielęgniarka; </w:t>
      </w:r>
    </w:p>
    <w:bookmarkEnd w:id="1"/>
    <w:p w:rsidR="00A45C65" w:rsidRPr="00362640" w:rsidRDefault="00A45C65"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xml:space="preserve">- w zależności od stanu pacjenta, lekarz może zalecić przerwanie przyjmowania leków przeciwzakrzepowych i przeciwcukrzycowych lub innych, które mogą wpłynąć na bezpieczeństwo zabiegu. </w:t>
      </w:r>
    </w:p>
    <w:p w:rsidR="00BA5ECB" w:rsidRPr="00362640" w:rsidRDefault="00A45C65"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xml:space="preserve">- pacjent powinien powstrzymać się od jedzenia i picia w ciągu 2 godzin przed zabiegiem, chyba że lekarz zaleci inaczej. </w:t>
      </w:r>
    </w:p>
    <w:p w:rsidR="00A45C65" w:rsidRPr="00362640" w:rsidRDefault="00A45C65" w:rsidP="0060710C">
      <w:pPr>
        <w:tabs>
          <w:tab w:val="left" w:pos="-284"/>
        </w:tabs>
        <w:spacing w:after="0" w:line="200" w:lineRule="exact"/>
        <w:ind w:left="-851"/>
        <w:jc w:val="both"/>
        <w:rPr>
          <w:rFonts w:ascii="Times New Roman" w:hAnsi="Times New Roman" w:cs="Times New Roman"/>
          <w:sz w:val="20"/>
          <w:szCs w:val="20"/>
        </w:rPr>
      </w:pPr>
      <w:r w:rsidRPr="00362640">
        <w:rPr>
          <w:rFonts w:ascii="Times New Roman" w:hAnsi="Times New Roman" w:cs="Times New Roman"/>
          <w:b/>
          <w:bCs/>
          <w:sz w:val="20"/>
          <w:szCs w:val="20"/>
        </w:rPr>
        <w:t>Po zabiegu:</w:t>
      </w:r>
    </w:p>
    <w:p w:rsidR="00A45C65" w:rsidRPr="00362640" w:rsidRDefault="00A45C65"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xml:space="preserve">- lekarz zaleca kroplówki, ew. inne leki; posiłek można zjeść przeważnie po 2-6 godz. od zakończenia zabiegu, chyba, że lekarz zaleci inaczej; </w:t>
      </w:r>
    </w:p>
    <w:p w:rsidR="00A45C65" w:rsidRPr="00362640" w:rsidRDefault="00A45C65"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konieczne zastosowanie się do zaleceń lekarza i pielęgniarek, w tym przyjęcie i utrzymanie pozycji leżącej przez okres kilkunastu godzin po wykonanym zabiegu zgodnie z instrukcjami ustnymi; niepalenie tytoniu, zachowanie spokoju</w:t>
      </w:r>
    </w:p>
    <w:p w:rsidR="00A45C65" w:rsidRPr="00362640" w:rsidRDefault="00A45C65"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nie należy przyjmować leków własnych, tylko ściśle te, które zaleci lekarz oddziałowy (podawane przez pielęgniarkę)</w:t>
      </w:r>
    </w:p>
    <w:p w:rsidR="00A45C65" w:rsidRPr="00362640" w:rsidRDefault="00A45C65"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należy zgłaszać wszelkie niepokojące objawy występujące w miejscu dostępu naczyniowego (np. w pachwinie, kończynie górnej), w miejscu leczonym,  lub w całej kończynie (-ach)</w:t>
      </w:r>
    </w:p>
    <w:p w:rsidR="00A45C65" w:rsidRPr="00362640" w:rsidRDefault="00A45C65"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xml:space="preserve">- należy zastosować zmiany w diecie i stylu życia: zdrową dietę, regularną aktywność fizyczną (zgodnie z zaleceniami lekarza), wyrównanie cukrzycy, rzucenie palenia tytoniu, kontrolowanie wagi ciała, cukrzycy, stężenia cholesterolu LDL i triglicerydów oraz ciśnienia krwi, </w:t>
      </w:r>
    </w:p>
    <w:p w:rsidR="00A45C65" w:rsidRPr="00362640" w:rsidRDefault="00A45C65" w:rsidP="0060710C">
      <w:pPr>
        <w:tabs>
          <w:tab w:val="left" w:pos="-284"/>
        </w:tabs>
        <w:spacing w:after="0" w:line="200" w:lineRule="exact"/>
        <w:ind w:left="-851"/>
        <w:jc w:val="both"/>
        <w:rPr>
          <w:rFonts w:ascii="Times New Roman" w:hAnsi="Times New Roman" w:cs="Times New Roman"/>
          <w:sz w:val="20"/>
          <w:szCs w:val="20"/>
        </w:rPr>
      </w:pPr>
      <w:r w:rsidRPr="00362640">
        <w:rPr>
          <w:rFonts w:ascii="Times New Roman" w:hAnsi="Times New Roman" w:cs="Times New Roman"/>
          <w:b/>
          <w:bCs/>
          <w:sz w:val="20"/>
          <w:szCs w:val="20"/>
        </w:rPr>
        <w:t>Okres rekonwalescencji:</w:t>
      </w:r>
    </w:p>
    <w:p w:rsidR="00A45C65" w:rsidRPr="00362640" w:rsidRDefault="00A45C65"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Unikanie dużego wysiłku: Przez pierwsze 2 tygodnie po zabiegu należy unikać intensywnego wysiłku fizycznego i długotrwałego stania i dźwigania, oszczędzając szczególnie tę kończynę, w której było nakłucie tętnicy.</w:t>
      </w:r>
    </w:p>
    <w:p w:rsidR="00A45C65" w:rsidRPr="00362640" w:rsidRDefault="00A45C65"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xml:space="preserve">- należy kontynuować zalecenia prozdrowotnych zmian stylu życia i aktywności fizycznej; </w:t>
      </w:r>
    </w:p>
    <w:p w:rsidR="00A83918" w:rsidRPr="00362640" w:rsidRDefault="00A45C65"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kontrole lekarskie: Regularne wizyty kontrolne pozwalają na monitorowanie efektów zabiegu i stanu zdrowia pacjenta. Podczas omawiania karty wypisowej lekarz ustali z Panem/ Panią termin wizyty kontrolnej w poradni</w:t>
      </w:r>
    </w:p>
    <w:p w:rsidR="009F5B10" w:rsidRPr="00362640" w:rsidRDefault="00A45C65"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Jeżeli potrzebujecie Państwo dodatkowych informacji związanych z tym zabiegiem możecie Państwo porozmawiać z leczącym Państwa lekarzem.</w:t>
      </w:r>
    </w:p>
    <w:p w:rsidR="009F5B10" w:rsidRPr="00362640" w:rsidRDefault="009F5B10" w:rsidP="0060710C">
      <w:pPr>
        <w:spacing w:after="0" w:line="200" w:lineRule="exact"/>
        <w:ind w:left="-851"/>
        <w:jc w:val="both"/>
        <w:rPr>
          <w:rFonts w:ascii="Times New Roman" w:hAnsi="Times New Roman" w:cs="Times New Roman"/>
          <w:b/>
          <w:bCs/>
          <w:sz w:val="20"/>
          <w:szCs w:val="20"/>
        </w:rPr>
      </w:pPr>
      <w:r w:rsidRPr="00362640">
        <w:rPr>
          <w:rFonts w:ascii="Times New Roman" w:hAnsi="Times New Roman" w:cs="Times New Roman"/>
          <w:b/>
          <w:bCs/>
          <w:sz w:val="20"/>
          <w:szCs w:val="20"/>
        </w:rPr>
        <w:t xml:space="preserve">4. OCZEKIWANE KORZYŚCI Z PRZEPROWADZENIA ZABIEGU </w:t>
      </w:r>
    </w:p>
    <w:p w:rsidR="009F5B10" w:rsidRPr="00362640" w:rsidRDefault="009F5B10"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xml:space="preserve">Jak wspomniano, zabieg wewnątrznaczyniowy </w:t>
      </w:r>
      <w:r w:rsidRPr="00362640">
        <w:rPr>
          <w:rFonts w:ascii="Times New Roman" w:hAnsi="Times New Roman" w:cs="Times New Roman"/>
          <w:b/>
          <w:bCs/>
          <w:sz w:val="20"/>
          <w:szCs w:val="20"/>
        </w:rPr>
        <w:t>w ostrym niedokrwieniu kończyny</w:t>
      </w:r>
      <w:r w:rsidRPr="00362640">
        <w:rPr>
          <w:rFonts w:ascii="Times New Roman" w:hAnsi="Times New Roman" w:cs="Times New Roman"/>
          <w:sz w:val="20"/>
          <w:szCs w:val="20"/>
        </w:rPr>
        <w:t xml:space="preserve">, o ile jest możliwy, ma na celu głównie uchronienie pacjenta przed amputacją kończyny, uwolnienie go od silnego bólu niedokrwiennego, a także zapewnienie jak najdłuższej pierwotnej drożności „naprawianego naczynia”. W przypadku </w:t>
      </w:r>
      <w:r w:rsidRPr="00362640">
        <w:rPr>
          <w:rFonts w:ascii="Times New Roman" w:hAnsi="Times New Roman" w:cs="Times New Roman"/>
          <w:b/>
          <w:bCs/>
          <w:sz w:val="20"/>
          <w:szCs w:val="20"/>
        </w:rPr>
        <w:t>przewlekłego niedokrwienia</w:t>
      </w:r>
      <w:r w:rsidRPr="00362640">
        <w:rPr>
          <w:rFonts w:ascii="Times New Roman" w:hAnsi="Times New Roman" w:cs="Times New Roman"/>
          <w:sz w:val="20"/>
          <w:szCs w:val="20"/>
        </w:rPr>
        <w:t xml:space="preserve"> (objawów trwających powyżej 14 dni), w zależności od wyjściowego nasilenia dolegliwości, oczekiwaną korzyścią z zabiegu jest wydłużenie dystansu marszu, który można pokonać bez bólu, a w przypadku niedokrwienia zagrażającego utratą kończyny (niedokrwienie krytyczne) celem leczenia jest uchronienie kończyny przed amputacją (czasem tylko ograniczenie jej zakresu) oraz poprawa jakości życia, poprzez opanowanie spoczynkowego, zwłaszcza nocnego bólu kończyny, umożliwienie snu, poruszania się i wygojenia owrzodzeń. Należy podkreślić, że zabieg nie leczy podstawowej przyczyny niedokrwienia kończyny, czyli miażdżycy, tylko usuwa/ łagodzi jej skutki (zwężenie naczynia), dlatego efekt odległy zabiegu zależy od przestrzegania przez Pana/ Panią zaleceń: (a) zmian stylu życia (zaprzestanie palenia tytoniu, zdrowa dieta, kontrola wagi ciała, regularny wysiłek tlenowy i umiarkowane ćwiczenia oporowe), (b) przyjmowania tabletek (np. </w:t>
      </w:r>
      <w:r w:rsidRPr="00362640">
        <w:rPr>
          <w:rFonts w:ascii="Times New Roman" w:hAnsi="Times New Roman" w:cs="Times New Roman"/>
          <w:bCs/>
          <w:sz w:val="20"/>
          <w:szCs w:val="20"/>
        </w:rPr>
        <w:t>leki obniżające stężenie cholesterolu, leki „rozrzedzające krew”, jak aspiryna, klopidogrel, a także leki przeciwzakrzepowe); (c) uzyskania odpowiedniej kontroli wyrównania cukrzycy, nadciśnienia tętniczego, zaburzeń lipidowych, itd.</w:t>
      </w:r>
      <w:r w:rsidRPr="00362640">
        <w:rPr>
          <w:rFonts w:ascii="Times New Roman" w:hAnsi="Times New Roman" w:cs="Times New Roman"/>
          <w:sz w:val="20"/>
          <w:szCs w:val="20"/>
        </w:rPr>
        <w:t xml:space="preserve">), (d) zgłaszania się na ambulatoryjne kontrole lekarskie, w tym u lekarza POZ. Nieprzyjmowanie leków przeciwzakrzepowych grozi powikłaniami pod postacią ostrej zakrzepicy naczynia lub stentu. Wiąże się z nią ryzyko utraty kończyny lub konieczność wykonania ponownego zabiegu, z ryzykiem jego powikłań. </w:t>
      </w:r>
    </w:p>
    <w:p w:rsidR="003E6869" w:rsidRPr="00362640" w:rsidRDefault="009F5B10"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xml:space="preserve">Niestety żaden zabieg naczyniowy nie daje gwarancji bezterminowej poprawy albo z powodu progresji miażdżycy albo nawrotu zwężenia w stencie (tzw. restenozy). Ogólnie ocenia się, że w ciągu roku u 2-3%, a w ciągu 5 lat u 10-20% pacjentów z chromaniem przestankowym leczonym zachowawczo (tzw. optymalna terapia farmakologiczna) dochodzi do progresji niedokrwienia kończyny (skrócenia dystansu wolnego od chromania,  wystąpienia bólów spoczynkowych, powstanie martwicy lub owrzodzeń). Z drugiej strony, tylko około 30% pacjentów poddanych interwencji zabiegowej  jest wolnych od objawów w 2 lata od zabiegu rewaskularyzacyjnym. Drożność leczonego naczynia utrzymuje się przez 5 lat u około 80% pacjentów, którzy mieli przeprowadzony zabieg stentowania tętnic biodrowych, ale w przypadku tętnic poniżej pachwiny już po roku drożność leczonego naczynia na udzie traci 20-30% pacjentów. Wśród osób, u których zabieg wykonano na tętnicach poniżej kolana, pierwotna utrata drożności naczynia dotyczy nawet 60-70% chorych już po 6 miesiącach od wykonania zabiegu. Oprócz przestrzegania zaleceń lekarskich, odległy efekt zabiegu jest osobniczo zmienny i zależy, m.in. od chorób współistniejących, anatomii zmian naczyniowych (poziomu, lokalizacji, nasilenia, charakteru [kalcyfikacja, restenoza] i długości), nasilenia objawów przed jego wykonaniem (lepsze u pacjentów z chromaniem przestankowym niż w przypadku </w:t>
      </w:r>
      <w:r w:rsidRPr="00362640">
        <w:rPr>
          <w:rFonts w:ascii="Times New Roman" w:hAnsi="Times New Roman" w:cs="Times New Roman"/>
          <w:sz w:val="20"/>
          <w:szCs w:val="20"/>
        </w:rPr>
        <w:lastRenderedPageBreak/>
        <w:t>niedokrwienia krytycznego), liczby wykonywanych wcześniej interwencji, trybu zabiegu (lepsze w przypadku zabiegu planowego, niż wykonywanego w trybie pilnym), itd.</w:t>
      </w:r>
    </w:p>
    <w:p w:rsidR="00101652" w:rsidRPr="00362640" w:rsidRDefault="00101652"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Prawdopodobieństwo niepowodzenia proponowanego zabiegu wewnątrznaczyniowego jest w Pana/Pani przypadku:</w:t>
      </w:r>
    </w:p>
    <w:p w:rsidR="00101652" w:rsidRPr="00362640" w:rsidRDefault="00101652" w:rsidP="0060710C">
      <w:pPr>
        <w:tabs>
          <w:tab w:val="left" w:pos="-284"/>
        </w:tabs>
        <w:spacing w:after="0" w:line="200" w:lineRule="exact"/>
        <w:ind w:left="-851" w:hanging="567"/>
        <w:jc w:val="both"/>
        <w:rPr>
          <w:rFonts w:ascii="Times New Roman" w:hAnsi="Times New Roman" w:cs="Times New Roman"/>
          <w:i/>
          <w:sz w:val="20"/>
          <w:szCs w:val="20"/>
        </w:rPr>
      </w:pPr>
      <w:r w:rsidRPr="00362640">
        <w:rPr>
          <w:rFonts w:ascii="Times New Roman" w:hAnsi="Times New Roman" w:cs="Times New Roman"/>
          <w:sz w:val="20"/>
          <w:szCs w:val="20"/>
        </w:rPr>
        <w:t xml:space="preserve">     </w:t>
      </w:r>
      <w:r w:rsidR="003E6869" w:rsidRPr="00362640">
        <w:rPr>
          <w:rFonts w:ascii="Times New Roman" w:hAnsi="Times New Roman" w:cs="Times New Roman"/>
          <w:sz w:val="20"/>
          <w:szCs w:val="20"/>
        </w:rPr>
        <w:tab/>
      </w:r>
      <w:r w:rsidRPr="00362640">
        <w:rPr>
          <w:rFonts w:ascii="Times New Roman" w:hAnsi="Times New Roman" w:cs="Times New Roman"/>
          <w:sz w:val="20"/>
          <w:szCs w:val="20"/>
        </w:rPr>
        <w:t xml:space="preserve"> [</w:t>
      </w:r>
      <w:r w:rsidR="00BA5ECB" w:rsidRPr="00362640">
        <w:rPr>
          <w:rFonts w:ascii="Times New Roman" w:hAnsi="Times New Roman" w:cs="Times New Roman"/>
          <w:sz w:val="20"/>
          <w:szCs w:val="20"/>
        </w:rPr>
        <w:t xml:space="preserve"> </w:t>
      </w:r>
      <w:r w:rsidRPr="00362640">
        <w:rPr>
          <w:rFonts w:ascii="Times New Roman" w:hAnsi="Times New Roman" w:cs="Times New Roman"/>
          <w:sz w:val="20"/>
          <w:szCs w:val="20"/>
        </w:rPr>
        <w:t xml:space="preserve">] </w:t>
      </w:r>
      <w:r w:rsidRPr="00362640">
        <w:rPr>
          <w:rFonts w:ascii="Times New Roman" w:hAnsi="Times New Roman" w:cs="Times New Roman"/>
          <w:i/>
          <w:sz w:val="20"/>
          <w:szCs w:val="20"/>
        </w:rPr>
        <w:t xml:space="preserve">duże (&gt;20%)                     </w:t>
      </w:r>
      <w:r w:rsidRPr="00362640">
        <w:rPr>
          <w:rFonts w:ascii="Times New Roman" w:hAnsi="Times New Roman" w:cs="Times New Roman"/>
          <w:i/>
          <w:sz w:val="20"/>
          <w:szCs w:val="20"/>
        </w:rPr>
        <w:tab/>
      </w:r>
      <w:r w:rsidRPr="00362640">
        <w:rPr>
          <w:rFonts w:ascii="Times New Roman" w:hAnsi="Times New Roman" w:cs="Times New Roman"/>
          <w:sz w:val="20"/>
          <w:szCs w:val="20"/>
        </w:rPr>
        <w:t xml:space="preserve">[ ] </w:t>
      </w:r>
      <w:r w:rsidRPr="00362640">
        <w:rPr>
          <w:rFonts w:ascii="Times New Roman" w:hAnsi="Times New Roman" w:cs="Times New Roman"/>
          <w:i/>
          <w:sz w:val="20"/>
          <w:szCs w:val="20"/>
        </w:rPr>
        <w:t xml:space="preserve">średnie (&lt;10-20%)                   </w:t>
      </w:r>
      <w:r w:rsidRPr="00362640">
        <w:rPr>
          <w:rFonts w:ascii="Times New Roman" w:hAnsi="Times New Roman" w:cs="Times New Roman"/>
          <w:i/>
          <w:sz w:val="20"/>
          <w:szCs w:val="20"/>
        </w:rPr>
        <w:tab/>
      </w:r>
      <w:r w:rsidRPr="00362640">
        <w:rPr>
          <w:rFonts w:ascii="Times New Roman" w:hAnsi="Times New Roman" w:cs="Times New Roman"/>
          <w:sz w:val="20"/>
          <w:szCs w:val="20"/>
        </w:rPr>
        <w:t>[ ] małe (&lt; 10%)</w:t>
      </w:r>
    </w:p>
    <w:p w:rsidR="00101652" w:rsidRPr="00362640" w:rsidRDefault="00101652"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Prawdopodobieństwo utrzymania efektu proponowanego zabiegu wewnątrznaczyniowego w ciągu roku wynosi u Pana/Pani:</w:t>
      </w:r>
    </w:p>
    <w:p w:rsidR="00101652" w:rsidRPr="00362640" w:rsidRDefault="00101652" w:rsidP="0060710C">
      <w:pPr>
        <w:tabs>
          <w:tab w:val="left" w:pos="-284"/>
        </w:tabs>
        <w:spacing w:after="0" w:line="200" w:lineRule="exact"/>
        <w:ind w:left="-851" w:hanging="567"/>
        <w:jc w:val="both"/>
        <w:rPr>
          <w:rFonts w:ascii="Times New Roman" w:hAnsi="Times New Roman" w:cs="Times New Roman"/>
          <w:i/>
          <w:sz w:val="20"/>
          <w:szCs w:val="20"/>
        </w:rPr>
      </w:pPr>
      <w:r w:rsidRPr="00362640">
        <w:rPr>
          <w:rFonts w:ascii="Times New Roman" w:hAnsi="Times New Roman" w:cs="Times New Roman"/>
          <w:sz w:val="20"/>
          <w:szCs w:val="20"/>
        </w:rPr>
        <w:t xml:space="preserve">     </w:t>
      </w:r>
      <w:r w:rsidR="003E6869" w:rsidRPr="00362640">
        <w:rPr>
          <w:rFonts w:ascii="Times New Roman" w:hAnsi="Times New Roman" w:cs="Times New Roman"/>
          <w:sz w:val="20"/>
          <w:szCs w:val="20"/>
        </w:rPr>
        <w:tab/>
      </w:r>
      <w:r w:rsidRPr="00362640">
        <w:rPr>
          <w:rFonts w:ascii="Times New Roman" w:hAnsi="Times New Roman" w:cs="Times New Roman"/>
          <w:sz w:val="20"/>
          <w:szCs w:val="20"/>
        </w:rPr>
        <w:t>[</w:t>
      </w:r>
      <w:r w:rsidR="00BA5ECB" w:rsidRPr="00362640">
        <w:rPr>
          <w:rFonts w:ascii="Times New Roman" w:hAnsi="Times New Roman" w:cs="Times New Roman"/>
          <w:sz w:val="20"/>
          <w:szCs w:val="20"/>
        </w:rPr>
        <w:t xml:space="preserve"> </w:t>
      </w:r>
      <w:r w:rsidRPr="00362640">
        <w:rPr>
          <w:rFonts w:ascii="Times New Roman" w:hAnsi="Times New Roman" w:cs="Times New Roman"/>
          <w:sz w:val="20"/>
          <w:szCs w:val="20"/>
        </w:rPr>
        <w:t xml:space="preserve">] </w:t>
      </w:r>
      <w:r w:rsidRPr="00362640">
        <w:rPr>
          <w:rFonts w:ascii="Times New Roman" w:hAnsi="Times New Roman" w:cs="Times New Roman"/>
          <w:i/>
          <w:sz w:val="20"/>
          <w:szCs w:val="20"/>
        </w:rPr>
        <w:t xml:space="preserve">duże (&gt;70%)                       </w:t>
      </w:r>
      <w:r w:rsidRPr="00362640">
        <w:rPr>
          <w:rFonts w:ascii="Times New Roman" w:hAnsi="Times New Roman" w:cs="Times New Roman"/>
          <w:i/>
          <w:sz w:val="20"/>
          <w:szCs w:val="20"/>
        </w:rPr>
        <w:tab/>
      </w:r>
      <w:r w:rsidRPr="00362640">
        <w:rPr>
          <w:rFonts w:ascii="Times New Roman" w:hAnsi="Times New Roman" w:cs="Times New Roman"/>
          <w:sz w:val="20"/>
          <w:szCs w:val="20"/>
        </w:rPr>
        <w:t xml:space="preserve">[ ] </w:t>
      </w:r>
      <w:r w:rsidRPr="00362640">
        <w:rPr>
          <w:rFonts w:ascii="Times New Roman" w:hAnsi="Times New Roman" w:cs="Times New Roman"/>
          <w:i/>
          <w:sz w:val="20"/>
          <w:szCs w:val="20"/>
        </w:rPr>
        <w:t xml:space="preserve">średnie (50-70%)                   </w:t>
      </w:r>
      <w:r w:rsidRPr="00362640">
        <w:rPr>
          <w:rFonts w:ascii="Times New Roman" w:hAnsi="Times New Roman" w:cs="Times New Roman"/>
          <w:i/>
          <w:sz w:val="20"/>
          <w:szCs w:val="20"/>
        </w:rPr>
        <w:tab/>
      </w:r>
      <w:r w:rsidRPr="00362640">
        <w:rPr>
          <w:rFonts w:ascii="Times New Roman" w:hAnsi="Times New Roman" w:cs="Times New Roman"/>
          <w:sz w:val="20"/>
          <w:szCs w:val="20"/>
        </w:rPr>
        <w:t>[ ] małe (&lt; 50%)</w:t>
      </w:r>
    </w:p>
    <w:p w:rsidR="00030863" w:rsidRPr="00362640" w:rsidRDefault="00030863"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b/>
          <w:sz w:val="20"/>
          <w:szCs w:val="20"/>
        </w:rPr>
        <w:t>5. RYZYKO ZWIĄZANE Z ZABIEGIEM WEWNĄTRZNACZYNIOWYM (BEZPIECZEŃSTWO)</w:t>
      </w:r>
    </w:p>
    <w:p w:rsidR="00030863" w:rsidRPr="00362640" w:rsidRDefault="00030863" w:rsidP="0060710C">
      <w:pPr>
        <w:spacing w:after="0" w:line="200" w:lineRule="exact"/>
        <w:ind w:left="-851"/>
        <w:jc w:val="both"/>
        <w:rPr>
          <w:rFonts w:ascii="Times New Roman" w:hAnsi="Times New Roman" w:cs="Times New Roman"/>
          <w:sz w:val="20"/>
          <w:szCs w:val="20"/>
        </w:rPr>
      </w:pPr>
      <w:bookmarkStart w:id="2" w:name="_Hlk195964704"/>
      <w:bookmarkStart w:id="3" w:name="_Hlk194945149"/>
      <w:r w:rsidRPr="00362640">
        <w:rPr>
          <w:rFonts w:ascii="Times New Roman" w:hAnsi="Times New Roman" w:cs="Times New Roman"/>
          <w:sz w:val="20"/>
          <w:szCs w:val="20"/>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362640">
        <w:rPr>
          <w:rFonts w:ascii="Times New Roman" w:hAnsi="Times New Roman" w:cs="Times New Roman"/>
          <w:b/>
          <w:bCs/>
          <w:sz w:val="20"/>
          <w:szCs w:val="20"/>
        </w:rPr>
        <w:t>(a)</w:t>
      </w:r>
      <w:r w:rsidRPr="00362640">
        <w:rPr>
          <w:rFonts w:ascii="Times New Roman" w:hAnsi="Times New Roman" w:cs="Times New Roman"/>
          <w:sz w:val="20"/>
          <w:szCs w:val="20"/>
        </w:rPr>
        <w:t xml:space="preserve"> samego pobytu w szpitalu (ryzyko zakażenia szpitalnego- 14-20%, krwawienia- 4-6%, powikłań zakrzepowo- zatorowych- określonego punktacją skali Padewskiej/ Capriniego, niedożywienia- 30%, upadku); </w:t>
      </w:r>
      <w:r w:rsidRPr="00362640">
        <w:rPr>
          <w:rFonts w:ascii="Times New Roman" w:hAnsi="Times New Roman" w:cs="Times New Roman"/>
          <w:b/>
          <w:bCs/>
          <w:sz w:val="20"/>
          <w:szCs w:val="20"/>
        </w:rPr>
        <w:t>(b)</w:t>
      </w:r>
      <w:r w:rsidRPr="00362640">
        <w:rPr>
          <w:rFonts w:ascii="Times New Roman" w:hAnsi="Times New Roman" w:cs="Times New Roman"/>
          <w:sz w:val="20"/>
          <w:szCs w:val="20"/>
        </w:rPr>
        <w:t xml:space="preserve"> osobniczego ryzyka pacjenta zależnego od jego stanu jego zdrowia, chorób przebytych i współistniejących, zaawansowania choroby, wieku, odżywienia (ocenianych np. w skali POSSUM lub Goldmanna); </w:t>
      </w:r>
      <w:r w:rsidRPr="00362640">
        <w:rPr>
          <w:rFonts w:ascii="Times New Roman" w:hAnsi="Times New Roman" w:cs="Times New Roman"/>
          <w:b/>
          <w:bCs/>
          <w:sz w:val="20"/>
          <w:szCs w:val="20"/>
        </w:rPr>
        <w:t>(c)</w:t>
      </w:r>
      <w:r w:rsidRPr="00362640">
        <w:rPr>
          <w:rFonts w:ascii="Times New Roman" w:hAnsi="Times New Roman" w:cs="Times New Roman"/>
          <w:sz w:val="20"/>
          <w:szCs w:val="20"/>
        </w:rPr>
        <w:t xml:space="preserve"> znieczulenia (skala ASA); </w:t>
      </w:r>
      <w:r w:rsidRPr="00362640">
        <w:rPr>
          <w:rFonts w:ascii="Times New Roman" w:hAnsi="Times New Roman" w:cs="Times New Roman"/>
          <w:b/>
          <w:bCs/>
          <w:sz w:val="20"/>
          <w:szCs w:val="20"/>
        </w:rPr>
        <w:t>(d)</w:t>
      </w:r>
      <w:r w:rsidRPr="00362640">
        <w:rPr>
          <w:rFonts w:ascii="Times New Roman" w:hAnsi="Times New Roman" w:cs="Times New Roman"/>
          <w:sz w:val="20"/>
          <w:szCs w:val="20"/>
        </w:rPr>
        <w:t xml:space="preserve"> ryzyka związanego z samą procedurą zabiegową, determinowanego przez tryb zabiegu (nagły, pilny, planowy przyspieszony, planowy), typ (operacja/ reoperacja), miejsce dostępu naczyniowego (większe w przypadku dostępów niestandardowych, np. pachowych, ramiennych) i średnicy (obwodu) naczynia dostępowego, wystąpienia ewentualnych powikłań (np. perforacja naczynia z krwotokiem, zakrzepica naczynia, rozwarstwienie, zatorowość obwodowa) oraz rodzaju samej operacji (średnio 1-5% ryzyko zgonu i incydentu sercowo- naczyniowego dla każdej operacji wewnątrznaczyniowej + ryzyko powikłań niezakończonych zgonem przedstawionych poniżej); </w:t>
      </w:r>
      <w:r w:rsidRPr="00362640">
        <w:rPr>
          <w:rFonts w:ascii="Times New Roman" w:hAnsi="Times New Roman" w:cs="Times New Roman"/>
          <w:b/>
          <w:bCs/>
          <w:sz w:val="20"/>
          <w:szCs w:val="20"/>
        </w:rPr>
        <w:t>(e)</w:t>
      </w:r>
      <w:r w:rsidRPr="00362640">
        <w:rPr>
          <w:rFonts w:ascii="Times New Roman" w:hAnsi="Times New Roman" w:cs="Times New Roman"/>
          <w:sz w:val="20"/>
          <w:szCs w:val="20"/>
        </w:rPr>
        <w:t xml:space="preserve"> przebiegu okresu pooperacyjnego (ryzyko wystąpienia majaczenia [delirium], zakażenia miejsca operowanego, krwawienia i zakrzepicy żylnej, przestrzegania zaleceń unieruchomienia, samodzielnego usuwania koszulki naczyniowej), a nawet </w:t>
      </w:r>
      <w:r w:rsidRPr="00362640">
        <w:rPr>
          <w:rFonts w:ascii="Times New Roman" w:hAnsi="Times New Roman" w:cs="Times New Roman"/>
          <w:b/>
          <w:bCs/>
          <w:sz w:val="20"/>
          <w:szCs w:val="20"/>
        </w:rPr>
        <w:t>(f)</w:t>
      </w:r>
      <w:r w:rsidRPr="00362640">
        <w:rPr>
          <w:rFonts w:ascii="Times New Roman" w:hAnsi="Times New Roman" w:cs="Times New Roman"/>
          <w:sz w:val="20"/>
          <w:szCs w:val="20"/>
        </w:rPr>
        <w:t xml:space="preserve"> pory roku (infekcje okresu jesienno- zimowego, wysokie temperatury latem, wahania ciśnienia atmosferycznego, burze) i </w:t>
      </w:r>
      <w:r w:rsidRPr="00362640">
        <w:rPr>
          <w:rFonts w:ascii="Times New Roman" w:hAnsi="Times New Roman" w:cs="Times New Roman"/>
          <w:b/>
          <w:bCs/>
          <w:sz w:val="20"/>
          <w:szCs w:val="20"/>
        </w:rPr>
        <w:t>(g)</w:t>
      </w:r>
      <w:r w:rsidRPr="00362640">
        <w:rPr>
          <w:rFonts w:ascii="Times New Roman" w:hAnsi="Times New Roman" w:cs="Times New Roman"/>
          <w:sz w:val="20"/>
          <w:szCs w:val="20"/>
        </w:rPr>
        <w:t xml:space="preserve"> niemożliwych do przewidzenia czynników zewnętrznych (np. epidemia, pandemia, klęski żywiołowe, wojna, konieczność wykonania pilnego zabiegu u innego pacjenta, wada produkcyjna użytego urządzenia)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krwi i miejsca operowanego, zawał serca, udar i zgon. </w:t>
      </w:r>
      <w:bookmarkEnd w:id="2"/>
      <w:r w:rsidRPr="00362640">
        <w:rPr>
          <w:rFonts w:ascii="Times New Roman" w:hAnsi="Times New Roman" w:cs="Times New Roman"/>
          <w:sz w:val="20"/>
          <w:szCs w:val="20"/>
        </w:rPr>
        <w:t xml:space="preserve">Śmiertelność okołooperacyjna nie powinna przekraczać 1-5%, Ryzyko jest zawsze wyższe w przypadku nagłych lub pilnych wskazań do zabiegu (ostre niedokrwienie), oraz w przypadku wystąpienia powikłań. </w:t>
      </w:r>
    </w:p>
    <w:bookmarkEnd w:id="3"/>
    <w:p w:rsidR="00030863" w:rsidRPr="00362640" w:rsidRDefault="00030863"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xml:space="preserve">Ryzyko </w:t>
      </w:r>
      <w:r w:rsidRPr="00362640">
        <w:rPr>
          <w:rFonts w:ascii="Times New Roman" w:hAnsi="Times New Roman" w:cs="Times New Roman"/>
          <w:b/>
          <w:bCs/>
          <w:sz w:val="20"/>
          <w:szCs w:val="20"/>
          <w:u w:val="single"/>
        </w:rPr>
        <w:t>powikłań zależnych od procedury</w:t>
      </w:r>
      <w:r w:rsidRPr="00362640">
        <w:rPr>
          <w:rFonts w:ascii="Times New Roman" w:hAnsi="Times New Roman" w:cs="Times New Roman"/>
          <w:sz w:val="20"/>
          <w:szCs w:val="20"/>
        </w:rPr>
        <w:t xml:space="preserve"> wewnątrznaczyniowej rewaskularyzacji kończyny obejmuje: 1-5% ryzyko zgonu i incydentu sercowo- naczyniowego), wystąpienie zaburzeń rytmu serca, przejściowy ból w okolicy rozprężania balonu, perforację naczynia i krwotok (0,3-2%), rozwarstwienie naczynia (0.9-8%), zatorowość obwodową (10-20%, zależnie od zastosowanego urządzenia, typu blaszki miażdżycowej i/lub wieku skrzepliny). Ryzyko powikłań może być wyższe w przypadku niestandardowych lub kilku dostępów naczyniowych oraz w przypadku konieczności dodatkowego zastosowania leku trombolitycznego (wzrasta &gt; 5%). </w:t>
      </w:r>
    </w:p>
    <w:p w:rsidR="00030863" w:rsidRPr="00362640" w:rsidRDefault="00030863"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b/>
          <w:sz w:val="20"/>
          <w:szCs w:val="20"/>
        </w:rPr>
        <w:t>Ciężkie powikłania związane z zabiegiem wewnątrznaczyniowym</w:t>
      </w:r>
      <w:r w:rsidRPr="00362640">
        <w:rPr>
          <w:rFonts w:ascii="Times New Roman" w:hAnsi="Times New Roman" w:cs="Times New Roman"/>
          <w:sz w:val="20"/>
          <w:szCs w:val="20"/>
        </w:rPr>
        <w:t xml:space="preserve"> występują bardzo rzadko, ale są to zdarzenia, które mogą być przyczyną bezpośredniego zagrożenia życia. Do najpoważniejszych należą:</w:t>
      </w:r>
    </w:p>
    <w:p w:rsidR="00030863" w:rsidRPr="00362640" w:rsidRDefault="00030863" w:rsidP="0060710C">
      <w:pPr>
        <w:spacing w:after="0" w:line="200" w:lineRule="exact"/>
        <w:ind w:left="-851" w:hanging="283"/>
        <w:jc w:val="both"/>
        <w:rPr>
          <w:rFonts w:ascii="Times New Roman" w:hAnsi="Times New Roman" w:cs="Times New Roman"/>
          <w:sz w:val="20"/>
          <w:szCs w:val="20"/>
        </w:rPr>
      </w:pPr>
      <w:r w:rsidRPr="00362640">
        <w:rPr>
          <w:rFonts w:ascii="Times New Roman" w:hAnsi="Times New Roman" w:cs="Times New Roman"/>
          <w:bCs/>
          <w:sz w:val="20"/>
          <w:szCs w:val="20"/>
        </w:rPr>
        <w:t xml:space="preserve">- uszkodzenie naczynia krwionośnego w miejscu wkłucia (najczęstsze) z powstaniem krwiaka (zasinienia), „krwiaka tętniącego” lub tętniaka (ryzyko utrzymuje się do 2 tygodni po zabiegu, gdy nie przestrzega się zaleceń lekarza, i np. przeciąża kończynę, ale zdarzały się pęknięcia naczynia nawet po upływie miesiąca), powikłanie to może wymagać albo dodatkowego ucisku, albo wstrzyknięcia kleju tkankowego do jamy tętniaka, albo zabiegu operacyjnego; </w:t>
      </w:r>
      <w:r w:rsidRPr="00362640">
        <w:rPr>
          <w:rFonts w:ascii="Times New Roman" w:hAnsi="Times New Roman" w:cs="Times New Roman"/>
          <w:sz w:val="20"/>
          <w:szCs w:val="20"/>
        </w:rPr>
        <w:t>Krwiak tętniący/ tętniak rzekomy jest najczęstszym powikłaniem zabiegów wewnątrznaczyniowych. P</w:t>
      </w:r>
      <w:r w:rsidRPr="00362640">
        <w:rPr>
          <w:rFonts w:ascii="Times New Roman" w:hAnsi="Times New Roman" w:cs="Times New Roman"/>
          <w:bCs/>
          <w:sz w:val="20"/>
          <w:szCs w:val="20"/>
        </w:rPr>
        <w:t>owikłanie to występuje w przypadku co najmniej w 1% niezabiegowych nakłuć tętnicy udowej lub ramiennej, a w przypadku zabiegów interwencyjnych, co wiąże się z większym profilem dostępu, nawet do 5,5%.</w:t>
      </w:r>
      <w:r w:rsidRPr="00362640">
        <w:rPr>
          <w:rFonts w:ascii="Times New Roman" w:hAnsi="Times New Roman" w:cs="Times New Roman"/>
          <w:sz w:val="20"/>
          <w:szCs w:val="20"/>
        </w:rPr>
        <w:t xml:space="preserve"> </w:t>
      </w:r>
      <w:r w:rsidRPr="00362640">
        <w:rPr>
          <w:rFonts w:ascii="Times New Roman" w:hAnsi="Times New Roman" w:cs="Times New Roman"/>
          <w:sz w:val="20"/>
          <w:szCs w:val="20"/>
          <w:u w:val="single"/>
        </w:rPr>
        <w:t>Ryzyko to jest większe</w:t>
      </w:r>
      <w:r w:rsidRPr="00362640">
        <w:rPr>
          <w:rFonts w:ascii="Times New Roman" w:hAnsi="Times New Roman" w:cs="Times New Roman"/>
          <w:sz w:val="20"/>
          <w:szCs w:val="20"/>
        </w:rPr>
        <w:t xml:space="preserve"> w przypadku dostępów ramiennych/ pachowych lub obwodowych (dół podkolanowy, stopa, dół łokciowy), dostępów o większym profilu obwodu introduktora (określanego skrótem F), konieczności wykonania kilku nakłuć naczynia lub podawania dodatkowych leków (tromboliza, podwójna, potrójna terapia przeciwzakrzepowa). Zaopatrzenie uszkodzenia miejsca dostępu naczyniowego wymaga dodatkowych procedur (np. przedłużony ucisk, ostrzyknięcie klejem, zabieg chirurgiczny), gdyż powstały krwiak może powodować ucisk na narządy sąsiednie, w tym naczynia żylne i tętnicze (zespół ciasnoty śródpowięziowej) i/lub sploty nerwowe, powodując przejściowe lub trwałe niedowłady, porażenia kończyny „dostępowej”; czasem nawet zabieg chirurgiczny nie jest w stanie przywrócić sprawności kończyny.</w:t>
      </w:r>
    </w:p>
    <w:p w:rsidR="00030863" w:rsidRPr="00362640" w:rsidRDefault="00030863" w:rsidP="0060710C">
      <w:pPr>
        <w:spacing w:after="0" w:line="200" w:lineRule="exact"/>
        <w:ind w:left="-851" w:hanging="274"/>
        <w:jc w:val="both"/>
        <w:rPr>
          <w:rFonts w:ascii="Times New Roman" w:hAnsi="Times New Roman" w:cs="Times New Roman"/>
          <w:sz w:val="20"/>
          <w:szCs w:val="20"/>
        </w:rPr>
      </w:pPr>
      <w:r w:rsidRPr="00362640">
        <w:rPr>
          <w:rFonts w:ascii="Times New Roman" w:hAnsi="Times New Roman" w:cs="Times New Roman"/>
          <w:sz w:val="20"/>
          <w:szCs w:val="20"/>
        </w:rPr>
        <w:t xml:space="preserve">- zakrzepica, rozwarstwienie tętnicy dostępowej, zator, ostra niedrożność naczynia, spowolnienie przepływu (ang. slow flow) powodujące ostre niedokrwienie kończyny; </w:t>
      </w:r>
    </w:p>
    <w:p w:rsidR="00030863" w:rsidRPr="00362640" w:rsidRDefault="00030863" w:rsidP="0060710C">
      <w:pPr>
        <w:spacing w:after="0" w:line="200" w:lineRule="exact"/>
        <w:ind w:left="-851" w:hanging="283"/>
        <w:jc w:val="both"/>
        <w:rPr>
          <w:rFonts w:ascii="Times New Roman" w:hAnsi="Times New Roman" w:cs="Times New Roman"/>
          <w:bCs/>
          <w:sz w:val="20"/>
          <w:szCs w:val="20"/>
        </w:rPr>
      </w:pPr>
      <w:r w:rsidRPr="00362640">
        <w:rPr>
          <w:rFonts w:ascii="Times New Roman" w:hAnsi="Times New Roman" w:cs="Times New Roman"/>
          <w:bCs/>
          <w:sz w:val="20"/>
          <w:szCs w:val="20"/>
        </w:rPr>
        <w:t xml:space="preserve">- pęknięcie docelowej (leczonej) tętnicy lub rozwarstwienie jej ściany w miejscu przechodzenia prowadnikiem, cewnikiem lub stosowania leczenia miejscowego (angioplastyka, szczególnie balonem tnącym lub wysokociśnieniowym, aterektomia, trombektomia) prowadzące do krwotoków, zatorów, zakrzepów, rozwarstwienia ściany naczynia- powikłanie to można zabezpieczyć stentem lub tzw. „stentem krytym”, czasem wymaga ucisku z zewnątrz lub zabiegu chirurgicznego; </w:t>
      </w:r>
    </w:p>
    <w:p w:rsidR="00030863" w:rsidRPr="00362640" w:rsidRDefault="00030863" w:rsidP="0060710C">
      <w:pPr>
        <w:spacing w:after="0" w:line="200" w:lineRule="exact"/>
        <w:ind w:left="-851" w:hanging="283"/>
        <w:jc w:val="both"/>
        <w:rPr>
          <w:rFonts w:ascii="Times New Roman" w:hAnsi="Times New Roman" w:cs="Times New Roman"/>
          <w:sz w:val="20"/>
          <w:szCs w:val="20"/>
        </w:rPr>
      </w:pPr>
      <w:r w:rsidRPr="00362640">
        <w:rPr>
          <w:rFonts w:ascii="Times New Roman" w:hAnsi="Times New Roman" w:cs="Times New Roman"/>
          <w:bCs/>
          <w:sz w:val="20"/>
          <w:szCs w:val="20"/>
        </w:rPr>
        <w:t>- zatory obwodowe, gdy skrzeplina lub blaszka miażdżycowa, przez którą przechodzi się podczas zabiegu oderwie się i z prądem krwi zostanie porwana do naczyń położonych obwodowo; powikłanie to będzie wymagało kolejnych procedur mających na celu ich usunięcie lub rozpuszczenie zakrzepu (trombektomia wewnątrznaczyniowa lub chirurgiczna, tromboliza); te dodatkowe procedury mogą wiązać się z dodatkowymi powikłaniami, mogą wydłużyć czas trwania zabiegu i liczbę koniecznych interwencji, co będzie wiązało się także z przedłużonym pobytem w szpitalu, powiązanych z ryzykiem kolejnych powikłań opisanych wyżej;</w:t>
      </w:r>
    </w:p>
    <w:p w:rsidR="00030863" w:rsidRPr="00362640" w:rsidRDefault="00030863" w:rsidP="0060710C">
      <w:pPr>
        <w:spacing w:after="0" w:line="200" w:lineRule="exact"/>
        <w:ind w:left="-851" w:hanging="283"/>
        <w:jc w:val="both"/>
        <w:rPr>
          <w:rFonts w:ascii="Times New Roman" w:hAnsi="Times New Roman" w:cs="Times New Roman"/>
          <w:bCs/>
          <w:sz w:val="20"/>
          <w:szCs w:val="20"/>
        </w:rPr>
      </w:pPr>
      <w:r w:rsidRPr="00362640">
        <w:rPr>
          <w:rFonts w:ascii="Times New Roman" w:hAnsi="Times New Roman" w:cs="Times New Roman"/>
          <w:bCs/>
          <w:sz w:val="20"/>
          <w:szCs w:val="20"/>
        </w:rPr>
        <w:t>- ostre uszkodzenie nerek (u pacjenta z chorobą nerek lub cukrzycą). Nefropatia pokontrastowa (CIN) występuje u 1-4% pacjentów poddawanych interwencji wewnątrznaczyniowej i polega na przejściowym wzroście stężenia kreatyniny we krwi</w:t>
      </w:r>
      <w:r w:rsidRPr="00362640">
        <w:rPr>
          <w:rFonts w:ascii="Times New Roman" w:hAnsi="Times New Roman" w:cs="Times New Roman"/>
          <w:sz w:val="20"/>
          <w:szCs w:val="20"/>
        </w:rPr>
        <w:t xml:space="preserve">, który zwykle normalizuje się w ciągu 7 dni. Natomiast ryzyko poważnych efektów ubocznych, np. ewentualnej dializy, jest nikłe i wynosi ok. 0,07%. wystąpienie tego powikłania może wpływać na odległe ryzyko sercowo- naczyniowe pacjenta. </w:t>
      </w:r>
    </w:p>
    <w:p w:rsidR="00030863" w:rsidRPr="00362640" w:rsidRDefault="00030863" w:rsidP="0060710C">
      <w:pPr>
        <w:spacing w:after="0" w:line="200" w:lineRule="exact"/>
        <w:ind w:left="-851" w:hanging="283"/>
        <w:jc w:val="both"/>
        <w:rPr>
          <w:rFonts w:ascii="Times New Roman" w:hAnsi="Times New Roman" w:cs="Times New Roman"/>
          <w:sz w:val="20"/>
          <w:szCs w:val="20"/>
        </w:rPr>
      </w:pPr>
      <w:r w:rsidRPr="00362640">
        <w:rPr>
          <w:rFonts w:ascii="Times New Roman" w:hAnsi="Times New Roman" w:cs="Times New Roman"/>
          <w:bCs/>
          <w:sz w:val="20"/>
          <w:szCs w:val="20"/>
        </w:rPr>
        <w:t>- ciężka reakcja alergiczna na środek kontrastowy prowadząca do niewydolności wielonarządowej</w:t>
      </w:r>
    </w:p>
    <w:p w:rsidR="005F7EE5" w:rsidRPr="00362640" w:rsidRDefault="00030863" w:rsidP="0060710C">
      <w:pPr>
        <w:spacing w:after="0" w:line="200" w:lineRule="exact"/>
        <w:ind w:left="-851" w:hanging="283"/>
        <w:jc w:val="both"/>
        <w:rPr>
          <w:rFonts w:ascii="Times New Roman" w:hAnsi="Times New Roman" w:cs="Times New Roman"/>
          <w:bCs/>
          <w:sz w:val="20"/>
          <w:szCs w:val="20"/>
        </w:rPr>
      </w:pPr>
      <w:r w:rsidRPr="00362640">
        <w:rPr>
          <w:rFonts w:ascii="Times New Roman" w:hAnsi="Times New Roman" w:cs="Times New Roman"/>
          <w:bCs/>
          <w:sz w:val="20"/>
          <w:szCs w:val="20"/>
        </w:rPr>
        <w:t>- w skrajnych przypadkach – konieczności amputacji kończyny leczonej, ale także „dostępowej”, udar mózgu lub zawał serca, zgon.</w:t>
      </w:r>
    </w:p>
    <w:p w:rsidR="0010050F" w:rsidRPr="00362640" w:rsidRDefault="0010050F"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b/>
          <w:sz w:val="20"/>
          <w:szCs w:val="20"/>
        </w:rPr>
        <w:lastRenderedPageBreak/>
        <w:t>Inne powikłania związane z zabiegiem wewnątrznaczyniowym (zależne od procedury)</w:t>
      </w:r>
      <w:r w:rsidRPr="00362640">
        <w:rPr>
          <w:rFonts w:ascii="Times New Roman" w:hAnsi="Times New Roman" w:cs="Times New Roman"/>
          <w:sz w:val="20"/>
          <w:szCs w:val="20"/>
        </w:rPr>
        <w:t>:</w:t>
      </w:r>
    </w:p>
    <w:p w:rsidR="0010050F" w:rsidRPr="00362640" w:rsidRDefault="0010050F" w:rsidP="0060710C">
      <w:pPr>
        <w:spacing w:after="0" w:line="200" w:lineRule="exact"/>
        <w:ind w:left="-851" w:hanging="133"/>
        <w:jc w:val="both"/>
        <w:rPr>
          <w:rFonts w:ascii="Times New Roman" w:hAnsi="Times New Roman" w:cs="Times New Roman"/>
          <w:sz w:val="20"/>
          <w:szCs w:val="20"/>
        </w:rPr>
      </w:pPr>
      <w:r w:rsidRPr="00362640">
        <w:rPr>
          <w:rFonts w:ascii="Times New Roman" w:hAnsi="Times New Roman" w:cs="Times New Roman"/>
          <w:sz w:val="20"/>
          <w:szCs w:val="20"/>
        </w:rPr>
        <w:t>- ból, krwawienie lub zasinienie w miejscu nakłucia,</w:t>
      </w:r>
    </w:p>
    <w:p w:rsidR="0010050F" w:rsidRPr="00362640" w:rsidRDefault="0010050F" w:rsidP="0060710C">
      <w:pPr>
        <w:spacing w:after="0" w:line="200" w:lineRule="exact"/>
        <w:ind w:left="-851" w:hanging="133"/>
        <w:jc w:val="both"/>
        <w:rPr>
          <w:rFonts w:ascii="Times New Roman" w:hAnsi="Times New Roman" w:cs="Times New Roman"/>
          <w:sz w:val="20"/>
          <w:szCs w:val="20"/>
        </w:rPr>
      </w:pPr>
      <w:r w:rsidRPr="00362640">
        <w:rPr>
          <w:rFonts w:ascii="Times New Roman" w:hAnsi="Times New Roman" w:cs="Times New Roman"/>
          <w:sz w:val="20"/>
          <w:szCs w:val="20"/>
        </w:rPr>
        <w:t>- przejściowy ból lub dyskomfort w kończynie (np. podczas nakłucia, ucisku lub rozprężania balonu)</w:t>
      </w:r>
    </w:p>
    <w:p w:rsidR="0010050F" w:rsidRPr="00362640" w:rsidRDefault="0010050F" w:rsidP="0060710C">
      <w:pPr>
        <w:spacing w:after="0" w:line="200" w:lineRule="exact"/>
        <w:ind w:left="-851" w:hanging="133"/>
        <w:jc w:val="both"/>
        <w:rPr>
          <w:rFonts w:ascii="Times New Roman" w:hAnsi="Times New Roman" w:cs="Times New Roman"/>
          <w:sz w:val="20"/>
          <w:szCs w:val="20"/>
        </w:rPr>
      </w:pPr>
      <w:r w:rsidRPr="00362640">
        <w:rPr>
          <w:rFonts w:ascii="Times New Roman" w:hAnsi="Times New Roman" w:cs="Times New Roman"/>
          <w:sz w:val="20"/>
          <w:szCs w:val="20"/>
        </w:rPr>
        <w:t>- reakcje alergiczne na środek kontrastowy (np. świąd, wysypka, nudności),</w:t>
      </w:r>
    </w:p>
    <w:p w:rsidR="0010050F" w:rsidRPr="00362640" w:rsidRDefault="0010050F" w:rsidP="0060710C">
      <w:pPr>
        <w:spacing w:after="0" w:line="200" w:lineRule="exact"/>
        <w:ind w:left="-851" w:hanging="133"/>
        <w:jc w:val="both"/>
        <w:rPr>
          <w:rFonts w:ascii="Times New Roman" w:hAnsi="Times New Roman" w:cs="Times New Roman"/>
          <w:sz w:val="20"/>
          <w:szCs w:val="20"/>
        </w:rPr>
      </w:pPr>
      <w:r w:rsidRPr="00362640">
        <w:rPr>
          <w:rFonts w:ascii="Times New Roman" w:hAnsi="Times New Roman" w:cs="Times New Roman"/>
          <w:sz w:val="20"/>
          <w:szCs w:val="20"/>
        </w:rPr>
        <w:t xml:space="preserve">- nawrót dolegliwości wskutek zwężenia/ niedrożności „leczonego” naczynia krwionośnego w okresie po wypisaniu ze szpitala, tzw. restenoza, która może wystąpić w różnym czasie po zabiegu (przeważnie z różną częstością zależnie od poziomu naczyniowego, na którym zabieg został wykonany, stanu naczyń poniżej i powyżej miejsca leczonego i metody zabiegu, w tym wykorzystania technologii uwalniających lek antyproliferacyjny; największe ryzyko restenozy istnieje w pierwszym roku po zabiegu; </w:t>
      </w:r>
    </w:p>
    <w:p w:rsidR="0010050F" w:rsidRPr="00362640" w:rsidRDefault="0010050F" w:rsidP="0060710C">
      <w:pPr>
        <w:spacing w:after="0" w:line="200" w:lineRule="exact"/>
        <w:ind w:left="-851" w:hanging="133"/>
        <w:jc w:val="both"/>
        <w:rPr>
          <w:rFonts w:ascii="Times New Roman" w:hAnsi="Times New Roman" w:cs="Times New Roman"/>
          <w:sz w:val="20"/>
          <w:szCs w:val="20"/>
        </w:rPr>
      </w:pPr>
      <w:r w:rsidRPr="00362640">
        <w:rPr>
          <w:rFonts w:ascii="Times New Roman" w:hAnsi="Times New Roman" w:cs="Times New Roman"/>
          <w:sz w:val="20"/>
          <w:szCs w:val="20"/>
        </w:rPr>
        <w:t xml:space="preserve">- rozwój tętniaka (poszerzenia naczynia) z dala od miejsca nakłucia tętnicy; do tego powikłania dochodzi częściej, gdy podczas zabiegu wykorzystuje się akcesoria uwalniające lek antyproliferacyjny, powodujące nacięcia ściany naczynia (balony tnące) lub usuwanie chorych tkanek z naczynia (aterektomia) </w:t>
      </w:r>
    </w:p>
    <w:p w:rsidR="005F7EE5" w:rsidRPr="00362640" w:rsidRDefault="0010050F" w:rsidP="0060710C">
      <w:pPr>
        <w:spacing w:after="0" w:line="200" w:lineRule="exact"/>
        <w:ind w:left="-851" w:hanging="133"/>
        <w:jc w:val="both"/>
        <w:rPr>
          <w:rFonts w:ascii="Times New Roman" w:hAnsi="Times New Roman" w:cs="Times New Roman"/>
          <w:sz w:val="20"/>
          <w:szCs w:val="20"/>
        </w:rPr>
      </w:pPr>
      <w:r w:rsidRPr="00362640">
        <w:rPr>
          <w:rFonts w:ascii="Times New Roman" w:hAnsi="Times New Roman" w:cs="Times New Roman"/>
          <w:sz w:val="20"/>
          <w:szCs w:val="20"/>
        </w:rPr>
        <w:t xml:space="preserve">- ze stosowaniem balonów lub stentów uwalniających lek antyproliferacyjny (paclitaxel, sirolimus) wiążą się także dodatkowe powikłania związane z koniecznością dłuższego (do roku lub bezterminowo) stosowania dwóch leków przeciwpłytkowych (aspiryna, klopidogrel) lub leków przeciwzakrzepowych powiązanego ze wzrostem ryzyka krwawień i możliwym skróceniem oczekiwanego czasu przeżycia. Producenci akcesoriów uwalniających leki antyproliferacyjne wskazują również na  potencjalne działanie teratogenne i genotoksyczne tych leków. Dlatego potencjalnie płodnym pacjentom leczonym wewnątrznaczyniowo z zastosowaniem balonów/ stentów uwalniających lek antyproliferacyjny przez okres 5 lat od zabiegu zalecają obowiązkowe stosowanie wysoce skutecznych metod antykoncepcji lub zobowiązanie do abstynencji od heteroseksualnych kontaktów seksualnych ze względu na ryzyko wad u płodu. </w:t>
      </w:r>
    </w:p>
    <w:p w:rsidR="005F7EE5" w:rsidRPr="00362640" w:rsidRDefault="005F7EE5"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b/>
          <w:bCs/>
          <w:sz w:val="20"/>
          <w:szCs w:val="20"/>
        </w:rPr>
        <w:t>OSOBNICZE (INDYWIDUALNE) RYZYKO śmierci oraz powikłań związanych z zabiegiem</w:t>
      </w:r>
      <w:r w:rsidRPr="00362640">
        <w:rPr>
          <w:rFonts w:ascii="Times New Roman" w:hAnsi="Times New Roman" w:cs="Times New Roman"/>
          <w:sz w:val="20"/>
          <w:szCs w:val="20"/>
        </w:rPr>
        <w:t>, które wyliczono na podstawie skali POSSUM, wynosi u Pana/Pani</w:t>
      </w:r>
    </w:p>
    <w:p w:rsidR="005F7EE5" w:rsidRPr="00362640" w:rsidRDefault="0060710C" w:rsidP="0060710C">
      <w:pPr>
        <w:spacing w:after="0" w:line="200" w:lineRule="exact"/>
        <w:ind w:left="-851"/>
        <w:jc w:val="both"/>
        <w:rPr>
          <w:rStyle w:val="citation-0"/>
          <w:rFonts w:ascii="Times New Roman" w:hAnsi="Times New Roman" w:cs="Times New Roman"/>
          <w:sz w:val="20"/>
          <w:szCs w:val="20"/>
        </w:rPr>
      </w:pPr>
      <w:r w:rsidRPr="00362640">
        <w:rPr>
          <w:rFonts w:ascii="Times New Roman" w:hAnsi="Times New Roman" w:cs="Times New Roman"/>
          <w:sz w:val="20"/>
          <w:szCs w:val="20"/>
        </w:rPr>
        <w:t>Ś</w:t>
      </w:r>
      <w:r w:rsidR="005F7EE5" w:rsidRPr="00362640">
        <w:rPr>
          <w:rFonts w:ascii="Times New Roman" w:hAnsi="Times New Roman" w:cs="Times New Roman"/>
          <w:sz w:val="20"/>
          <w:szCs w:val="20"/>
        </w:rPr>
        <w:t>miertelność: ……….. Możliwość powikłań: …………</w:t>
      </w:r>
    </w:p>
    <w:p w:rsidR="005F7EE5" w:rsidRPr="00362640" w:rsidRDefault="005F7EE5" w:rsidP="0060710C">
      <w:pPr>
        <w:spacing w:after="0" w:line="200" w:lineRule="exact"/>
        <w:ind w:left="-851"/>
        <w:jc w:val="both"/>
        <w:rPr>
          <w:rStyle w:val="citation-0"/>
          <w:rFonts w:ascii="Times New Roman" w:hAnsi="Times New Roman" w:cs="Times New Roman"/>
          <w:b/>
          <w:bCs/>
          <w:sz w:val="20"/>
          <w:szCs w:val="20"/>
        </w:rPr>
      </w:pPr>
      <w:r w:rsidRPr="00362640">
        <w:rPr>
          <w:rStyle w:val="citation-0"/>
          <w:rFonts w:ascii="Times New Roman" w:hAnsi="Times New Roman" w:cs="Times New Roman"/>
          <w:b/>
          <w:bCs/>
          <w:sz w:val="20"/>
          <w:szCs w:val="20"/>
        </w:rPr>
        <w:t>RYZYKO ZWIĄZANE ZE ZNIECZULENIEM</w:t>
      </w:r>
    </w:p>
    <w:p w:rsidR="005F7EE5" w:rsidRPr="00362640" w:rsidRDefault="005F7EE5" w:rsidP="0060710C">
      <w:pPr>
        <w:spacing w:after="0" w:line="200" w:lineRule="exact"/>
        <w:ind w:left="-851"/>
        <w:jc w:val="both"/>
        <w:rPr>
          <w:rFonts w:ascii="Times New Roman" w:hAnsi="Times New Roman" w:cs="Times New Roman"/>
          <w:sz w:val="20"/>
          <w:szCs w:val="20"/>
        </w:rPr>
      </w:pPr>
      <w:r w:rsidRPr="00362640">
        <w:rPr>
          <w:rStyle w:val="citation-0"/>
          <w:rFonts w:ascii="Times New Roman" w:hAnsi="Times New Roman" w:cs="Times New Roman"/>
          <w:sz w:val="20"/>
          <w:szCs w:val="20"/>
        </w:rPr>
        <w:t xml:space="preserve">Jak wspomniano, zabieg wewnątrznaczyniowy wykonuje się w znieczuleniu miejscowym (najczęściej lidokainą). </w:t>
      </w:r>
      <w:r w:rsidRPr="00362640">
        <w:rPr>
          <w:rStyle w:val="citation-1"/>
          <w:rFonts w:ascii="Times New Roman" w:hAnsi="Times New Roman" w:cs="Times New Roman"/>
          <w:sz w:val="20"/>
          <w:szCs w:val="20"/>
        </w:rPr>
        <w:t>Lidokaina działa poprzez blokowanie przewodzenia impulsów nerwowych, co uniemożliwia odczuwanie bólu w miejscu podania i</w:t>
      </w:r>
      <w:r w:rsidRPr="00362640">
        <w:rPr>
          <w:rStyle w:val="citation-0"/>
          <w:rFonts w:ascii="Times New Roman" w:hAnsi="Times New Roman" w:cs="Times New Roman"/>
          <w:sz w:val="20"/>
          <w:szCs w:val="20"/>
        </w:rPr>
        <w:t xml:space="preserve"> jest powszechnie stosowana w celu złagodzenia bólu podczas zabiegów</w:t>
      </w:r>
      <w:r w:rsidRPr="00362640">
        <w:rPr>
          <w:rStyle w:val="citation-1"/>
          <w:rFonts w:ascii="Times New Roman" w:hAnsi="Times New Roman" w:cs="Times New Roman"/>
          <w:sz w:val="20"/>
          <w:szCs w:val="20"/>
        </w:rPr>
        <w:t>. Możliwe powikłania związane z podskórnym podawaniem lidokainy to:</w:t>
      </w:r>
    </w:p>
    <w:p w:rsidR="005F7EE5" w:rsidRPr="00362640" w:rsidRDefault="005F7EE5" w:rsidP="0060710C">
      <w:pPr>
        <w:spacing w:after="0" w:line="200" w:lineRule="exact"/>
        <w:ind w:left="-851" w:hanging="133"/>
        <w:jc w:val="both"/>
        <w:rPr>
          <w:rFonts w:ascii="Times New Roman" w:hAnsi="Times New Roman" w:cs="Times New Roman"/>
          <w:sz w:val="20"/>
          <w:szCs w:val="20"/>
        </w:rPr>
      </w:pPr>
      <w:r w:rsidRPr="00362640">
        <w:rPr>
          <w:rStyle w:val="citation-1"/>
          <w:rFonts w:ascii="Times New Roman" w:hAnsi="Times New Roman" w:cs="Times New Roman"/>
          <w:sz w:val="20"/>
          <w:szCs w:val="20"/>
        </w:rPr>
        <w:t xml:space="preserve">- </w:t>
      </w:r>
      <w:r w:rsidRPr="00362640">
        <w:rPr>
          <w:rFonts w:ascii="Times New Roman" w:hAnsi="Times New Roman" w:cs="Times New Roman"/>
          <w:sz w:val="20"/>
          <w:szCs w:val="20"/>
        </w:rPr>
        <w:t>reakcje alergiczne: u niektórych pacjentów może wystąpić uczulenie na lidokainę, objawiające się wysypką, swędzeniem, obrzękiem lub dusznością. W przypadku wystąpienia takich objawów należy niezwłocznie skontaktować się z lekarzem.</w:t>
      </w:r>
    </w:p>
    <w:p w:rsidR="005F7EE5" w:rsidRPr="00362640" w:rsidRDefault="005F7EE5" w:rsidP="0060710C">
      <w:pPr>
        <w:spacing w:after="0" w:line="200" w:lineRule="exact"/>
        <w:ind w:left="-851" w:hanging="133"/>
        <w:jc w:val="both"/>
        <w:rPr>
          <w:rFonts w:ascii="Times New Roman" w:hAnsi="Times New Roman" w:cs="Times New Roman"/>
          <w:sz w:val="20"/>
          <w:szCs w:val="20"/>
        </w:rPr>
      </w:pPr>
      <w:r w:rsidRPr="00362640">
        <w:rPr>
          <w:rFonts w:ascii="Times New Roman" w:hAnsi="Times New Roman" w:cs="Times New Roman"/>
          <w:sz w:val="20"/>
          <w:szCs w:val="20"/>
        </w:rPr>
        <w:t>- działania niepożądane: lidokaina może powodować zaburzenia świadomości, zawroty głowy, senność, drżenie mięśni, zaburzenia widzenia lub słuchu. Objawy te zwykle ustępują po krótkim czasie.</w:t>
      </w:r>
    </w:p>
    <w:p w:rsidR="005F7EE5" w:rsidRPr="00362640" w:rsidRDefault="005F7EE5" w:rsidP="0060710C">
      <w:pPr>
        <w:spacing w:after="0" w:line="200" w:lineRule="exact"/>
        <w:ind w:left="-851" w:hanging="133"/>
        <w:jc w:val="both"/>
        <w:rPr>
          <w:rFonts w:ascii="Times New Roman" w:hAnsi="Times New Roman" w:cs="Times New Roman"/>
          <w:sz w:val="20"/>
          <w:szCs w:val="20"/>
        </w:rPr>
      </w:pPr>
      <w:r w:rsidRPr="00362640">
        <w:rPr>
          <w:rFonts w:ascii="Times New Roman" w:hAnsi="Times New Roman" w:cs="Times New Roman"/>
          <w:sz w:val="20"/>
          <w:szCs w:val="20"/>
        </w:rPr>
        <w:t>- powikłania miejscowe: w miejscu podania lidokainy może wystąpić zaczerwienienie, obrzęk lub ból. Zwykle są to łagodne objawy, które ustępują samoistnie.</w:t>
      </w:r>
    </w:p>
    <w:p w:rsidR="005F7EE5" w:rsidRPr="00362640" w:rsidRDefault="005F7EE5"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xml:space="preserve">Ważne jest, aby poinformować lekarza o wszelkich dolegliwościach, które występują po podaniu lidokainy lub reakcjach, które wystąpiły podczas ewentualnych wcześniejszych podań leku. Podobna uwaga dotyczy przebytych niepożądanych reakcji na środki kontrastowe. </w:t>
      </w:r>
    </w:p>
    <w:p w:rsidR="006C473B" w:rsidRPr="00362640" w:rsidRDefault="006C473B" w:rsidP="0060710C">
      <w:pPr>
        <w:spacing w:after="0" w:line="200" w:lineRule="exact"/>
        <w:ind w:left="-851"/>
        <w:jc w:val="both"/>
        <w:rPr>
          <w:rFonts w:ascii="Times New Roman" w:hAnsi="Times New Roman" w:cs="Times New Roman"/>
          <w:b/>
          <w:bCs/>
          <w:sz w:val="20"/>
          <w:szCs w:val="20"/>
        </w:rPr>
      </w:pPr>
      <w:r w:rsidRPr="00362640">
        <w:rPr>
          <w:rFonts w:ascii="Times New Roman" w:hAnsi="Times New Roman" w:cs="Times New Roman"/>
          <w:b/>
          <w:bCs/>
          <w:sz w:val="20"/>
          <w:szCs w:val="20"/>
        </w:rPr>
        <w:t>6. SKUTKI ODLEGŁE ZABIEGU WEWNĄTRZNACZYNIOWEGO</w:t>
      </w:r>
    </w:p>
    <w:p w:rsidR="006C473B" w:rsidRPr="00362640" w:rsidRDefault="006C473B"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bCs/>
          <w:sz w:val="20"/>
          <w:szCs w:val="20"/>
        </w:rPr>
        <w:t xml:space="preserve">Jak wspomniano w pkt. 4, zabieg wewnątrznaczyniowy na kończynach dolnych ma na celu poprawienie Pana/ Pani jakości życia, zwiększenie </w:t>
      </w:r>
      <w:r w:rsidRPr="00362640">
        <w:rPr>
          <w:rFonts w:ascii="Times New Roman" w:hAnsi="Times New Roman" w:cs="Times New Roman"/>
          <w:sz w:val="20"/>
          <w:szCs w:val="20"/>
        </w:rPr>
        <w:t xml:space="preserve">możliwości poruszania się, wygojenia ran, ustąpienia bólu, a także uniknięcie amputacji kończyny i wydłużenie oczekiwanego czasu przeżycia. Odległe efekty zabiegu zależą od tego, czy był on wykonany z powodu ostrego, czy przewlekłego niedokrwienia, a w tym ostatnim przypadku, czy z powodu chromania, czy też niedokrwienia z bólami spoczynkowymi i raną.  Najczęstszą przyczyną przewlekłego niedokrwienia jest miażdżyca, ale zabieg jej nie leczy, tylko poszerza światło naczynia. Dlatego jego efekty długoterminowe zależą także od dokładnego przestrzegania zaleceń lekarskich, w tym wdrożenia regularnej aktywności fizycznej i prostych ćwiczeń oraz prawidłowej kontroli stanów prowadzących do rozwoju/ postępu miażdżycy, tzw. czynników ryzyka, tj. cukrzycy, stężenia cholesterolu, nadciśnienia tętniczego, palenia papierosów i nadwagi/otyłości. Najważniejszym odległym powikłaniem zabiegu wewnątrznaczyniowego jest nawrót zwężenia, tzw. restenoza, która może wystąpić w różnym czasie po zabiegu (przeważnie z różną częstością zależnie od poziomu naczyniowego, na którym zabieg został wykonany, stanu naczyń poniżej i powyżej miejsca leczonego (napływ, odpływ), metody zabiegu itd. Utrata drożności naczynia dotyczy różnego odsetka chorych w zależności od miejsca leczonego, tzn. około 20% pacjentów, którzy mieli zabieg na tętnicach biodrowych po 5 latach, 20-30% po roku od wykonania zabiegu na naczyniach poniżej pachwiny, oraz 60-70% pacjentów w ciągu 6 miesięcy po wykonaniu zabiegu na tętnicach poniżej kolana. Ogólnie tylko 30% pacjentów jest wolnych od objawów po 2 latach po zabiegu. Innym odległym powikłaniem zabiegu wewnątrznaczyniowego może być rozwój tętniaka (poszerzenia naczynia), do którego dochodzi częściej, gdy podczas zabiegu wykorzystuje się akcesoria uwalniające lek, powodujące nacięcia (balony tnące) lub usuwanie chorych tkanek z naczynia (aterektomia). Tętniak taki może być źródłem zatorów obwodowych lub może pęknąć i być powodem krwawienia/ tętniaka rzekomego. U pacjentów z chromaniem przestankowym ryzyko amputacji kończyny wynosi około 2%, a w ciągu 5 lat do nasilenia objawów (skrócenia dystansu chromania) dochodzi u 10-20% chorych, a przejście w stan zagrożenia amputacją kończyny (niedokrwienie krytyczne) występuje u 5-20% chorych. W grupie chorych z najbardziej zaawansowanymi objawami, czyli z niedokrwieniem zagrażającym amputacją (niedokrwienie krytyczne) ryzyko amputacji wynosi 25-30%, a śmiertelność 25% w ciągu roku i 90% w ciągu 5 lat. Dlatego konieczna jest ścisła kontrola lekarska ukierunkowana nie tylko na ocenę drożności naczynia, ale także na holistyczne leczenie czynników ryzyka miażdżycy. Efekty odległe zabiegu, zależne od technologii wykorzystanej podczas jego przeprowadzenia, są determinowane także ryzkiem opisanym w pkt. 5 oraz ewentualną koniecznością wykonania amputacji kończyny. Z zabiegiem tym wiąże się śmiertelność 30-dniowa na poziomie 4-20%, zależnie, czy jest wykonywana w trybie planowym, czy pilnym. </w:t>
      </w:r>
    </w:p>
    <w:p w:rsidR="006C473B" w:rsidRPr="00362640" w:rsidRDefault="006C473B" w:rsidP="0060710C">
      <w:pPr>
        <w:spacing w:after="0" w:line="200" w:lineRule="exact"/>
        <w:ind w:left="-851"/>
        <w:jc w:val="both"/>
        <w:rPr>
          <w:rFonts w:ascii="Times New Roman" w:hAnsi="Times New Roman" w:cs="Times New Roman"/>
          <w:b/>
          <w:bCs/>
          <w:sz w:val="20"/>
          <w:szCs w:val="20"/>
        </w:rPr>
      </w:pPr>
      <w:r w:rsidRPr="00362640">
        <w:rPr>
          <w:rFonts w:ascii="Times New Roman" w:hAnsi="Times New Roman" w:cs="Times New Roman"/>
          <w:b/>
          <w:bCs/>
          <w:sz w:val="20"/>
          <w:szCs w:val="20"/>
        </w:rPr>
        <w:t>7. ALTERNATYWNE METODY LECZENIA:</w:t>
      </w:r>
    </w:p>
    <w:p w:rsidR="006C473B" w:rsidRPr="00362640" w:rsidRDefault="006C473B" w:rsidP="0060710C">
      <w:pPr>
        <w:spacing w:after="0" w:line="200" w:lineRule="exact"/>
        <w:ind w:left="-851"/>
        <w:jc w:val="both"/>
        <w:rPr>
          <w:rFonts w:ascii="Times New Roman" w:hAnsi="Times New Roman" w:cs="Times New Roman"/>
          <w:bCs/>
          <w:sz w:val="20"/>
          <w:szCs w:val="20"/>
        </w:rPr>
      </w:pPr>
      <w:r w:rsidRPr="00362640">
        <w:rPr>
          <w:rFonts w:ascii="Times New Roman" w:hAnsi="Times New Roman" w:cs="Times New Roman"/>
          <w:bCs/>
          <w:sz w:val="20"/>
          <w:szCs w:val="20"/>
        </w:rPr>
        <w:t xml:space="preserve">Rodzaj alternatywnych metod leczenia dobiera się w zależności od stanu kończyny (np. stopnia niedokrwienia, wielkości martwicy lub rany, ciężkości infekcji), stanu pacjenta, możliwości znieczulenia, zaawansowania chorób współistniejących, anatomii naczyń i poziomu potencjalnej rewaskularyzacji. Najczęstszą alternatywą dla zabiegów wewnątrznaczyniowych jest klasyczny zabieg chirurgiczny lub leczenia zachowawcze (farmakologiczne, tzw. optymalna terapia farmakologiczna). </w:t>
      </w:r>
    </w:p>
    <w:p w:rsidR="006C473B" w:rsidRPr="00362640" w:rsidRDefault="006C473B"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bCs/>
          <w:sz w:val="20"/>
          <w:szCs w:val="20"/>
        </w:rPr>
        <w:t xml:space="preserve">LECZENIE CHIRURGICZNE – to klasyczny zabieg w znieczuleniu ogólnym lub w znieczuleniu przez cewnik wprowadzony do kanału kręgosłupa. Zabieg polega na nacięciu skóry, wypreparowaniu chorobowo zmienionych naczyń krwionośnych i ich chirurgicznym udrożnieniu (miejscowym usunięciem blaszki miażdżycowej, tzw. endarterektomia) lub wszczepieniu pomostu, </w:t>
      </w:r>
      <w:r w:rsidRPr="00362640">
        <w:rPr>
          <w:rFonts w:ascii="Times New Roman" w:hAnsi="Times New Roman" w:cs="Times New Roman"/>
          <w:bCs/>
          <w:sz w:val="20"/>
          <w:szCs w:val="20"/>
        </w:rPr>
        <w:lastRenderedPageBreak/>
        <w:t xml:space="preserve">czyli „rurki” z własnej żyły lub materiału sztucznego ("baj-pasu"), omijającego zwężenie, a następnie zabezpieczeniem miejsca operowanego i zaszyciem rany. Zabieg tego typu ma swoje ograniczenia. Przede wszystkim nie wszystkie naczynia krwionośne są położone tak, aby można było bezpieczną metodą wykonać operację „na otwarto”. Ponadto rana pooperacyjna stwarza większe ryzyko zakażenia, krwawienia z miejsca operowanego i zakrzepicy tętnicy w miejscu operowanym oraz zakrzepicy żył głębokich. Zabieg chirurgiczny wiąże się też z większym stresem okołooperacyjnym (nasilającym „spalanie” tkanek własnych chorego), czasem koniecznością otwarcia jamy brzusznej, ryzykiem uszkodzenia drobnych naczyń krążenia obocznego oraz nerwów (z czym wiążą się zaburzenia czucia, niedowłady kończyn, pogorszenie jej ukrwienia), dłuższego unieruchomienia. Czasem alternatywą do leczenia wewnątrznaczyniowego ratującego kończynę, szczególnie u pacjenta z ostrym i przewlekłym, krytycznym niedokrwieniem kończyny, może być jej amputacja na różnym poziomie. </w:t>
      </w:r>
    </w:p>
    <w:p w:rsidR="00030863" w:rsidRPr="00362640" w:rsidRDefault="006C473B" w:rsidP="0060710C">
      <w:pPr>
        <w:spacing w:after="0" w:line="200" w:lineRule="exact"/>
        <w:ind w:left="-851"/>
        <w:jc w:val="both"/>
        <w:rPr>
          <w:rFonts w:ascii="Times New Roman" w:hAnsi="Times New Roman" w:cs="Times New Roman"/>
          <w:b/>
          <w:sz w:val="20"/>
          <w:szCs w:val="20"/>
        </w:rPr>
      </w:pPr>
      <w:r w:rsidRPr="00362640">
        <w:rPr>
          <w:rFonts w:ascii="Times New Roman" w:hAnsi="Times New Roman" w:cs="Times New Roman"/>
          <w:bCs/>
          <w:sz w:val="20"/>
          <w:szCs w:val="20"/>
        </w:rPr>
        <w:t xml:space="preserve">LECZENIE ZACHOWAWCZE, czyli brak ingerencji chirurgicznej czy wewnątrznaczyniowej i zalecenie leczenia farmakologicznego. Niestety ta metoda nie zawsze jest w stanie zahamować postęp choroby, szczególnie w przypadku niedokrwienia ostrego i niedokrwienia krytycznego, gdy brak dopływu krwi do tkanek kończyny może prowadzić do bardzo poważnych powikłań, jak jej utrata (amputacja), zatrucie organizmu produktami rozpadu niedokrwionych tkanek, reakcja prowadząca do niewydolności wszystkich narządów w organizmie (zespół poreperfuzyjny), a nawet zgonu chorego. W przypadku zachowawczego leczenia przewlekłego niedokrwienia pod postacią chromania przestankowego konieczna będzie intensywna rehabilitacja wspomagana farmakoterapią. Należy jednak pamiętać, że uzyskana tą drogą poprawa dystansu marszu bez bólu o 200%, spowoduje, że pacjent będzie mógł przejść np. z 20m do 60m. Istnieje ryzyko progresji fazy chromania przestankowego u około 20-30% pacjentów w ciągu 5 lat. Jak wspomniano, w przypadku niedokrwienia krytycznego z bólem spoczynkowym(nocnym) lub martwicą leczenie zachowawcze ma małe szanse powodzenia, w ciągu roku około 40% chorych utraci kończynę na różnym poziomie, a około 30% chorych będzie żyła z bólem różnego nasilenia. Około 25% pacjentów z krytycznym niedokrwieniem kończyny umiera w ciągu roku. </w:t>
      </w:r>
    </w:p>
    <w:p w:rsidR="00AE4D15" w:rsidRPr="00362640" w:rsidRDefault="00AE4D15"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b/>
          <w:sz w:val="20"/>
          <w:szCs w:val="20"/>
        </w:rPr>
        <w:t>8. SKUTKI ODMOWY I NIEPODJĘCIA PROPONOWANEGO LECZENIA/ DIAGNOSTYKI:</w:t>
      </w:r>
    </w:p>
    <w:p w:rsidR="00AE4D15" w:rsidRPr="00362640" w:rsidRDefault="00AE4D15" w:rsidP="0060710C">
      <w:pPr>
        <w:spacing w:after="0" w:line="200" w:lineRule="exact"/>
        <w:ind w:left="-851"/>
        <w:jc w:val="both"/>
        <w:rPr>
          <w:rFonts w:ascii="Times New Roman" w:hAnsi="Times New Roman" w:cs="Times New Roman"/>
          <w:bCs/>
          <w:sz w:val="20"/>
          <w:szCs w:val="20"/>
        </w:rPr>
      </w:pPr>
      <w:r w:rsidRPr="00362640">
        <w:rPr>
          <w:rFonts w:ascii="Times New Roman" w:hAnsi="Times New Roman" w:cs="Times New Roman"/>
          <w:bCs/>
          <w:sz w:val="20"/>
          <w:szCs w:val="20"/>
        </w:rPr>
        <w:t xml:space="preserve">Oświadczam, że zostałem/am poinformowany/a, że brak podjęcia leczenia zabiegowego i wybór leczenia zachowawczego farmakologicznego może, w zależności od stopnia nasilenia choroby przed zabiegiem, doprowadzić do skutków opisanych powyżej, a więc zgonu, poważnego uszczerbku na funkcjonowaniu wielu narządów w organizmie, utraty kończyny (amputacji), silnych, przewlekłych dolegliwości bólowych zaburzających sen i codzienne funkcjonowanie, powstawania martwicy tkanek i niegojących się owrzodzeń, „zatrucia organizmu” i sepsy. </w:t>
      </w:r>
    </w:p>
    <w:p w:rsidR="004170C6" w:rsidRPr="00362640" w:rsidRDefault="004170C6" w:rsidP="0060710C">
      <w:pPr>
        <w:tabs>
          <w:tab w:val="left" w:pos="-284"/>
        </w:tabs>
        <w:spacing w:after="0" w:line="200" w:lineRule="exact"/>
        <w:ind w:left="-851"/>
        <w:jc w:val="both"/>
        <w:rPr>
          <w:rFonts w:ascii="Times New Roman" w:hAnsi="Times New Roman" w:cs="Times New Roman"/>
          <w:b/>
          <w:bCs/>
          <w:i/>
          <w:sz w:val="20"/>
          <w:szCs w:val="20"/>
        </w:rPr>
      </w:pPr>
      <w:r w:rsidRPr="00362640">
        <w:rPr>
          <w:rFonts w:ascii="Times New Roman" w:hAnsi="Times New Roman" w:cs="Times New Roman"/>
          <w:b/>
          <w:bCs/>
          <w:sz w:val="20"/>
          <w:szCs w:val="20"/>
        </w:rPr>
        <w:t xml:space="preserve">9. PYTANIA PACJENTA: </w:t>
      </w:r>
      <w:r w:rsidRPr="00362640">
        <w:rPr>
          <w:rFonts w:ascii="Segoe UI Symbol" w:hAnsi="Segoe UI Symbol" w:cs="Segoe UI Symbol"/>
          <w:b/>
          <w:bCs/>
          <w:sz w:val="20"/>
          <w:szCs w:val="20"/>
        </w:rPr>
        <w:t>⃝</w:t>
      </w:r>
      <w:r w:rsidRPr="00362640">
        <w:rPr>
          <w:rFonts w:ascii="Times New Roman" w:hAnsi="Times New Roman" w:cs="Times New Roman"/>
          <w:b/>
          <w:bCs/>
          <w:sz w:val="20"/>
          <w:szCs w:val="20"/>
        </w:rPr>
        <w:t xml:space="preserve"> - brak</w:t>
      </w:r>
    </w:p>
    <w:p w:rsidR="00AE4D15" w:rsidRPr="00362640" w:rsidRDefault="004170C6"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w:t>
      </w:r>
      <w:r w:rsidR="007C7DD4" w:rsidRPr="00362640">
        <w:rPr>
          <w:rFonts w:ascii="Times New Roman" w:hAnsi="Times New Roman" w:cs="Times New Roman"/>
          <w:sz w:val="20"/>
          <w:szCs w:val="20"/>
        </w:rPr>
        <w:t>……………………………………………………</w:t>
      </w:r>
    </w:p>
    <w:p w:rsidR="00EB6AAA" w:rsidRPr="00362640" w:rsidRDefault="00EB6AAA" w:rsidP="0060710C">
      <w:pPr>
        <w:tabs>
          <w:tab w:val="left" w:pos="-284"/>
        </w:tabs>
        <w:spacing w:after="0" w:line="200" w:lineRule="exact"/>
        <w:ind w:left="-851"/>
        <w:jc w:val="both"/>
        <w:rPr>
          <w:rFonts w:ascii="Times New Roman" w:hAnsi="Times New Roman" w:cs="Times New Roman"/>
          <w:sz w:val="20"/>
          <w:szCs w:val="20"/>
        </w:rPr>
      </w:pPr>
      <w:r w:rsidRPr="00362640">
        <w:rPr>
          <w:rFonts w:ascii="Times New Roman" w:hAnsi="Times New Roman" w:cs="Times New Roman"/>
          <w:b/>
          <w:sz w:val="20"/>
          <w:szCs w:val="20"/>
        </w:rPr>
        <w:t>10. OŚWIADCZENIE PACJENTA:</w:t>
      </w:r>
    </w:p>
    <w:p w:rsidR="00EB6AAA" w:rsidRPr="00362640" w:rsidRDefault="00EB6AAA" w:rsidP="0060710C">
      <w:pPr>
        <w:spacing w:after="0" w:line="200" w:lineRule="exact"/>
        <w:ind w:left="-851" w:hanging="283"/>
        <w:jc w:val="both"/>
        <w:rPr>
          <w:rFonts w:ascii="Times New Roman" w:hAnsi="Times New Roman" w:cs="Times New Roman"/>
          <w:sz w:val="20"/>
          <w:szCs w:val="20"/>
        </w:rPr>
      </w:pPr>
      <w:r w:rsidRPr="00362640">
        <w:rPr>
          <w:rFonts w:ascii="Times New Roman" w:hAnsi="Times New Roman" w:cs="Times New Roman"/>
          <w:sz w:val="20"/>
          <w:szCs w:val="20"/>
        </w:rPr>
        <w:t xml:space="preserve">1. Oświadczam, że zapoznałem/-am się z treścią niniejszego formularza i w pełni zrozumiałem/ -am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362640">
        <w:rPr>
          <w:rFonts w:ascii="Times New Roman" w:hAnsi="Times New Roman" w:cs="Times New Roman"/>
          <w:iCs/>
          <w:sz w:val="20"/>
          <w:szCs w:val="20"/>
        </w:rPr>
        <w:t>oczekiwanych korzyściach i dających się przewidzieć skutków odległych zabiegu;</w:t>
      </w:r>
      <w:r w:rsidRPr="00362640">
        <w:rPr>
          <w:rFonts w:ascii="Times New Roman" w:hAnsi="Times New Roman" w:cs="Times New Roman"/>
          <w:sz w:val="20"/>
          <w:szCs w:val="20"/>
        </w:rPr>
        <w:t xml:space="preserve"> alternatywnych metodach leczniczych i diagnostycznych oraz </w:t>
      </w:r>
      <w:r w:rsidRPr="00362640">
        <w:rPr>
          <w:rFonts w:ascii="Times New Roman" w:hAnsi="Times New Roman" w:cs="Times New Roman"/>
          <w:iCs/>
          <w:sz w:val="20"/>
          <w:szCs w:val="20"/>
        </w:rPr>
        <w:t>dających się przewidzieć następstw zastosowania tych metod lub ich zaniechania, skutków odmowy i niepodjęcia proponowanego leczenia</w:t>
      </w:r>
      <w:r w:rsidRPr="00362640">
        <w:rPr>
          <w:rFonts w:ascii="Times New Roman" w:hAnsi="Times New Roman" w:cs="Times New Roman"/>
          <w:sz w:val="20"/>
          <w:szCs w:val="20"/>
        </w:rPr>
        <w:t>.</w:t>
      </w:r>
    </w:p>
    <w:p w:rsidR="00EB6AAA" w:rsidRPr="00362640" w:rsidRDefault="00EB6AAA" w:rsidP="0060710C">
      <w:pPr>
        <w:spacing w:after="0" w:line="200" w:lineRule="exact"/>
        <w:ind w:left="-851" w:hanging="283"/>
        <w:jc w:val="both"/>
        <w:rPr>
          <w:rFonts w:ascii="Times New Roman" w:hAnsi="Times New Roman" w:cs="Times New Roman"/>
          <w:sz w:val="20"/>
          <w:szCs w:val="20"/>
        </w:rPr>
      </w:pPr>
      <w:r w:rsidRPr="00362640">
        <w:rPr>
          <w:rFonts w:ascii="Times New Roman" w:hAnsi="Times New Roman" w:cs="Times New Roman"/>
          <w:sz w:val="20"/>
          <w:szCs w:val="20"/>
        </w:rPr>
        <w:t xml:space="preserve">2. Oświadczam, że podczas rozmowy z lekarzem miałem/ -am możliwość zadawania pytań dotyczących proponowanego leczenia i otrzymałem/ -am na nie przystępne, zrozumiałe i wyczerpujące odpowiedzi. </w:t>
      </w:r>
    </w:p>
    <w:p w:rsidR="004170C6" w:rsidRPr="00362640" w:rsidRDefault="00EB6AAA" w:rsidP="0060710C">
      <w:pPr>
        <w:spacing w:after="0" w:line="200" w:lineRule="exact"/>
        <w:ind w:left="-851" w:hanging="283"/>
        <w:jc w:val="both"/>
        <w:rPr>
          <w:rFonts w:ascii="Times New Roman" w:hAnsi="Times New Roman" w:cs="Times New Roman"/>
          <w:sz w:val="20"/>
          <w:szCs w:val="20"/>
        </w:rPr>
      </w:pPr>
      <w:r w:rsidRPr="00362640">
        <w:rPr>
          <w:rFonts w:ascii="Times New Roman" w:hAnsi="Times New Roman" w:cs="Times New Roman"/>
          <w:sz w:val="20"/>
          <w:szCs w:val="20"/>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transportu oraz schorzeniach członków mojej najbliższej rodziny. </w:t>
      </w:r>
    </w:p>
    <w:p w:rsidR="00106356" w:rsidRPr="00362640" w:rsidRDefault="00106356" w:rsidP="0060710C">
      <w:pPr>
        <w:spacing w:after="0" w:line="200" w:lineRule="exact"/>
        <w:ind w:left="-851"/>
        <w:jc w:val="both"/>
        <w:rPr>
          <w:rFonts w:ascii="Times New Roman" w:hAnsi="Times New Roman" w:cs="Times New Roman"/>
          <w:b/>
          <w:bCs/>
          <w:sz w:val="20"/>
          <w:szCs w:val="20"/>
        </w:rPr>
      </w:pPr>
      <w:r w:rsidRPr="00362640">
        <w:rPr>
          <w:rFonts w:ascii="Times New Roman" w:hAnsi="Times New Roman" w:cs="Times New Roman"/>
          <w:b/>
          <w:bCs/>
          <w:sz w:val="20"/>
          <w:szCs w:val="20"/>
        </w:rPr>
        <w:t>Zgoda na zabieg</w:t>
      </w:r>
    </w:p>
    <w:p w:rsidR="00106356" w:rsidRPr="00362640" w:rsidRDefault="00106356" w:rsidP="0060710C">
      <w:pPr>
        <w:spacing w:after="0" w:line="200" w:lineRule="exact"/>
        <w:ind w:left="-851"/>
        <w:jc w:val="both"/>
        <w:rPr>
          <w:rFonts w:ascii="Times New Roman" w:hAnsi="Times New Roman" w:cs="Times New Roman"/>
          <w:sz w:val="20"/>
          <w:szCs w:val="20"/>
        </w:rPr>
      </w:pPr>
      <w:r w:rsidRPr="00362640">
        <w:rPr>
          <w:rFonts w:ascii="Times New Roman" w:hAnsi="Times New Roman" w:cs="Times New Roman"/>
          <w:sz w:val="20"/>
          <w:szCs w:val="20"/>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 </w:t>
      </w:r>
    </w:p>
    <w:p w:rsidR="00247604" w:rsidRPr="00362640" w:rsidRDefault="00247604" w:rsidP="0060710C">
      <w:pPr>
        <w:tabs>
          <w:tab w:val="left" w:pos="-284"/>
        </w:tabs>
        <w:spacing w:after="0" w:line="200" w:lineRule="exact"/>
        <w:ind w:left="-851" w:hanging="133"/>
        <w:jc w:val="both"/>
        <w:rPr>
          <w:rFonts w:ascii="Times New Roman" w:hAnsi="Times New Roman" w:cs="Times New Roman"/>
          <w:sz w:val="20"/>
          <w:szCs w:val="20"/>
        </w:rPr>
      </w:pPr>
      <w:r w:rsidRPr="00362640">
        <w:rPr>
          <w:rFonts w:ascii="Times New Roman" w:hAnsi="Times New Roman" w:cs="Times New Roman"/>
          <w:b/>
          <w:sz w:val="20"/>
          <w:szCs w:val="20"/>
        </w:rPr>
        <w:t>11. UWAGI LEKARZA:</w:t>
      </w:r>
    </w:p>
    <w:p w:rsidR="00247604" w:rsidRPr="00362640" w:rsidRDefault="00247604" w:rsidP="0060710C">
      <w:pPr>
        <w:tabs>
          <w:tab w:val="left" w:pos="-284"/>
        </w:tabs>
        <w:spacing w:after="0" w:line="200" w:lineRule="exact"/>
        <w:ind w:left="-851" w:right="333" w:hanging="133"/>
        <w:jc w:val="both"/>
        <w:rPr>
          <w:rFonts w:ascii="Times New Roman" w:hAnsi="Times New Roman" w:cs="Times New Roman"/>
          <w:sz w:val="20"/>
          <w:szCs w:val="20"/>
        </w:rPr>
      </w:pPr>
      <w:r w:rsidRPr="00362640">
        <w:rPr>
          <w:rFonts w:ascii="Times New Roman" w:hAnsi="Times New Roman" w:cs="Times New Roman"/>
          <w:sz w:val="20"/>
          <w:szCs w:val="20"/>
        </w:rPr>
        <w:t>..................................................................................................................................................................................................................................................................................................</w:t>
      </w:r>
      <w:r w:rsidR="00BA5ECB" w:rsidRPr="00362640">
        <w:rPr>
          <w:rFonts w:ascii="Times New Roman" w:hAnsi="Times New Roman" w:cs="Times New Roman"/>
          <w:sz w:val="20"/>
          <w:szCs w:val="20"/>
        </w:rPr>
        <w:t>........................................................</w:t>
      </w:r>
    </w:p>
    <w:p w:rsidR="00247604" w:rsidRPr="00362640" w:rsidRDefault="00247604" w:rsidP="0060710C">
      <w:pPr>
        <w:tabs>
          <w:tab w:val="left" w:pos="-284"/>
        </w:tabs>
        <w:spacing w:after="0" w:line="200" w:lineRule="exact"/>
        <w:ind w:left="-851" w:hanging="133"/>
        <w:jc w:val="both"/>
        <w:rPr>
          <w:rFonts w:ascii="Times New Roman" w:hAnsi="Times New Roman" w:cs="Times New Roman"/>
          <w:sz w:val="20"/>
          <w:szCs w:val="20"/>
        </w:rPr>
      </w:pPr>
      <w:r w:rsidRPr="00362640">
        <w:rPr>
          <w:rFonts w:ascii="Times New Roman" w:hAnsi="Times New Roman" w:cs="Times New Roman"/>
          <w:b/>
          <w:sz w:val="20"/>
          <w:szCs w:val="20"/>
        </w:rPr>
        <w:t>12. PODPIS PACJENTA I LEKARZA:</w:t>
      </w:r>
    </w:p>
    <w:tbl>
      <w:tblPr>
        <w:tblW w:w="11051" w:type="dxa"/>
        <w:tblInd w:w="-743" w:type="dxa"/>
        <w:tblLayout w:type="fixed"/>
        <w:tblLook w:val="0000"/>
      </w:tblPr>
      <w:tblGrid>
        <w:gridCol w:w="4537"/>
        <w:gridCol w:w="6514"/>
      </w:tblGrid>
      <w:tr w:rsidR="00247604" w:rsidRPr="00362640" w:rsidTr="00E06DD9">
        <w:trPr>
          <w:trHeight w:val="506"/>
        </w:trPr>
        <w:tc>
          <w:tcPr>
            <w:tcW w:w="4537" w:type="dxa"/>
            <w:tcBorders>
              <w:top w:val="single" w:sz="4" w:space="0" w:color="000000"/>
              <w:left w:val="single" w:sz="4" w:space="0" w:color="000000"/>
              <w:bottom w:val="single" w:sz="4" w:space="0" w:color="000000"/>
              <w:right w:val="single" w:sz="4" w:space="0" w:color="000000"/>
            </w:tcBorders>
            <w:vAlign w:val="center"/>
          </w:tcPr>
          <w:p w:rsidR="00247604" w:rsidRPr="00362640" w:rsidRDefault="00247604" w:rsidP="0060710C">
            <w:pPr>
              <w:tabs>
                <w:tab w:val="left" w:pos="-284"/>
              </w:tabs>
              <w:spacing w:after="0" w:line="200" w:lineRule="exact"/>
              <w:rPr>
                <w:rFonts w:ascii="Times New Roman" w:hAnsi="Times New Roman" w:cs="Times New Roman"/>
                <w:sz w:val="20"/>
                <w:szCs w:val="20"/>
              </w:rPr>
            </w:pPr>
            <w:r w:rsidRPr="00362640">
              <w:rPr>
                <w:rFonts w:ascii="Times New Roman" w:hAnsi="Times New Roman" w:cs="Times New Roman"/>
                <w:sz w:val="20"/>
                <w:szCs w:val="20"/>
              </w:rPr>
              <w:t xml:space="preserve">Data oraz podpis pacjenta </w:t>
            </w:r>
          </w:p>
          <w:p w:rsidR="00E06DD9" w:rsidRPr="00362640" w:rsidRDefault="00247604" w:rsidP="00362640">
            <w:pPr>
              <w:tabs>
                <w:tab w:val="left" w:pos="-284"/>
              </w:tabs>
              <w:spacing w:after="0" w:line="200" w:lineRule="exact"/>
              <w:rPr>
                <w:rFonts w:ascii="Times New Roman" w:hAnsi="Times New Roman" w:cs="Times New Roman"/>
                <w:sz w:val="20"/>
                <w:szCs w:val="20"/>
              </w:rPr>
            </w:pPr>
            <w:r w:rsidRPr="00362640">
              <w:rPr>
                <w:rFonts w:ascii="Times New Roman" w:hAnsi="Times New Roman" w:cs="Times New Roman"/>
                <w:sz w:val="20"/>
                <w:szCs w:val="20"/>
              </w:rPr>
              <w:t>lub przedstawiciela ustawowego</w:t>
            </w:r>
          </w:p>
        </w:tc>
        <w:tc>
          <w:tcPr>
            <w:tcW w:w="6514" w:type="dxa"/>
            <w:tcBorders>
              <w:top w:val="single" w:sz="4" w:space="0" w:color="000000"/>
              <w:left w:val="single" w:sz="4" w:space="0" w:color="000000"/>
              <w:bottom w:val="single" w:sz="4" w:space="0" w:color="000000"/>
              <w:right w:val="single" w:sz="4" w:space="0" w:color="000000"/>
            </w:tcBorders>
            <w:vAlign w:val="center"/>
          </w:tcPr>
          <w:p w:rsidR="00247604" w:rsidRPr="00362640" w:rsidRDefault="00247604" w:rsidP="0060710C">
            <w:pPr>
              <w:tabs>
                <w:tab w:val="left" w:pos="-284"/>
              </w:tabs>
              <w:snapToGrid w:val="0"/>
              <w:spacing w:after="0" w:line="200" w:lineRule="exact"/>
              <w:ind w:left="-851" w:hanging="133"/>
              <w:rPr>
                <w:rFonts w:ascii="Times New Roman" w:hAnsi="Times New Roman" w:cs="Times New Roman"/>
                <w:sz w:val="20"/>
                <w:szCs w:val="20"/>
              </w:rPr>
            </w:pPr>
          </w:p>
          <w:p w:rsidR="00247604" w:rsidRPr="00362640" w:rsidRDefault="00247604" w:rsidP="0060710C">
            <w:pPr>
              <w:tabs>
                <w:tab w:val="left" w:pos="-284"/>
              </w:tabs>
              <w:spacing w:after="0" w:line="200" w:lineRule="exact"/>
              <w:ind w:left="-851" w:hanging="133"/>
              <w:rPr>
                <w:rFonts w:ascii="Times New Roman" w:hAnsi="Times New Roman" w:cs="Times New Roman"/>
                <w:sz w:val="20"/>
                <w:szCs w:val="20"/>
              </w:rPr>
            </w:pPr>
          </w:p>
        </w:tc>
      </w:tr>
      <w:tr w:rsidR="00247604" w:rsidRPr="00362640" w:rsidTr="00E06DD9">
        <w:trPr>
          <w:trHeight w:val="423"/>
        </w:trPr>
        <w:tc>
          <w:tcPr>
            <w:tcW w:w="4537" w:type="dxa"/>
            <w:tcBorders>
              <w:top w:val="single" w:sz="4" w:space="0" w:color="000000"/>
              <w:left w:val="single" w:sz="4" w:space="0" w:color="000000"/>
              <w:bottom w:val="single" w:sz="4" w:space="0" w:color="000000"/>
              <w:right w:val="single" w:sz="4" w:space="0" w:color="000000"/>
            </w:tcBorders>
          </w:tcPr>
          <w:p w:rsidR="00247604" w:rsidRPr="00362640" w:rsidRDefault="00247604" w:rsidP="0060710C">
            <w:pPr>
              <w:tabs>
                <w:tab w:val="left" w:pos="-284"/>
              </w:tabs>
              <w:spacing w:after="0" w:line="200" w:lineRule="exact"/>
              <w:rPr>
                <w:rFonts w:ascii="Times New Roman" w:hAnsi="Times New Roman" w:cs="Times New Roman"/>
                <w:sz w:val="20"/>
                <w:szCs w:val="20"/>
              </w:rPr>
            </w:pPr>
            <w:r w:rsidRPr="00362640">
              <w:rPr>
                <w:rFonts w:ascii="Times New Roman" w:hAnsi="Times New Roman" w:cs="Times New Roman"/>
                <w:sz w:val="20"/>
                <w:szCs w:val="20"/>
              </w:rPr>
              <w:t>Data, podpis oraz pieczątka lekarza</w:t>
            </w:r>
          </w:p>
          <w:p w:rsidR="00E06DD9" w:rsidRPr="00362640" w:rsidRDefault="00E06DD9" w:rsidP="0060710C">
            <w:pPr>
              <w:tabs>
                <w:tab w:val="left" w:pos="-284"/>
              </w:tabs>
              <w:spacing w:after="0" w:line="200" w:lineRule="exact"/>
              <w:rPr>
                <w:rFonts w:ascii="Times New Roman" w:hAnsi="Times New Roman" w:cs="Times New Roman"/>
                <w:sz w:val="20"/>
                <w:szCs w:val="20"/>
              </w:rPr>
            </w:pPr>
          </w:p>
        </w:tc>
        <w:tc>
          <w:tcPr>
            <w:tcW w:w="6514" w:type="dxa"/>
            <w:tcBorders>
              <w:top w:val="single" w:sz="4" w:space="0" w:color="000000"/>
              <w:left w:val="single" w:sz="4" w:space="0" w:color="000000"/>
              <w:bottom w:val="single" w:sz="4" w:space="0" w:color="000000"/>
              <w:right w:val="single" w:sz="4" w:space="0" w:color="000000"/>
            </w:tcBorders>
          </w:tcPr>
          <w:p w:rsidR="00247604" w:rsidRPr="00362640" w:rsidRDefault="00247604" w:rsidP="0060710C">
            <w:pPr>
              <w:tabs>
                <w:tab w:val="left" w:pos="-284"/>
              </w:tabs>
              <w:snapToGrid w:val="0"/>
              <w:spacing w:after="0" w:line="200" w:lineRule="exact"/>
              <w:ind w:left="-851" w:hanging="133"/>
              <w:jc w:val="center"/>
              <w:rPr>
                <w:rFonts w:ascii="Times New Roman" w:hAnsi="Times New Roman" w:cs="Times New Roman"/>
                <w:sz w:val="20"/>
                <w:szCs w:val="20"/>
              </w:rPr>
            </w:pPr>
          </w:p>
        </w:tc>
      </w:tr>
    </w:tbl>
    <w:p w:rsidR="00247604" w:rsidRPr="00362640" w:rsidRDefault="00247604" w:rsidP="0060710C">
      <w:pPr>
        <w:tabs>
          <w:tab w:val="left" w:pos="-284"/>
        </w:tabs>
        <w:spacing w:after="0" w:line="200" w:lineRule="exact"/>
        <w:ind w:left="-851" w:hanging="133"/>
        <w:jc w:val="both"/>
        <w:rPr>
          <w:rFonts w:ascii="Times New Roman" w:hAnsi="Times New Roman" w:cs="Times New Roman"/>
          <w:sz w:val="20"/>
          <w:szCs w:val="20"/>
        </w:rPr>
      </w:pPr>
      <w:r w:rsidRPr="00362640">
        <w:rPr>
          <w:rFonts w:ascii="Times New Roman" w:hAnsi="Times New Roman" w:cs="Times New Roman"/>
          <w:b/>
          <w:sz w:val="20"/>
          <w:szCs w:val="20"/>
        </w:rPr>
        <w:t>13. SPRZECIW PACJENTA:</w:t>
      </w:r>
    </w:p>
    <w:p w:rsidR="00247604" w:rsidRPr="00362640" w:rsidRDefault="00247604" w:rsidP="0060710C">
      <w:pPr>
        <w:tabs>
          <w:tab w:val="left" w:pos="-284"/>
        </w:tabs>
        <w:spacing w:after="0" w:line="200" w:lineRule="exact"/>
        <w:ind w:left="-851"/>
        <w:jc w:val="both"/>
        <w:rPr>
          <w:rFonts w:ascii="Times New Roman" w:hAnsi="Times New Roman" w:cs="Times New Roman"/>
          <w:bCs/>
          <w:sz w:val="20"/>
          <w:szCs w:val="20"/>
        </w:rPr>
      </w:pPr>
      <w:r w:rsidRPr="00362640">
        <w:rPr>
          <w:rFonts w:ascii="Times New Roman" w:hAnsi="Times New Roman" w:cs="Times New Roman"/>
          <w:bCs/>
          <w:sz w:val="20"/>
          <w:szCs w:val="20"/>
        </w:rPr>
        <w:t>Nie zgadzam się na proponowany mi zabieg operacyjny. Zostałem/Zostałam poinformowana o możliwych negatywnych konsekwencjach takiej decyzji dla mojego zdrowia i życia.</w:t>
      </w:r>
    </w:p>
    <w:p w:rsidR="00D5645F" w:rsidRPr="00362640" w:rsidRDefault="00D5645F" w:rsidP="0060710C">
      <w:pPr>
        <w:tabs>
          <w:tab w:val="left" w:pos="-284"/>
        </w:tabs>
        <w:spacing w:after="0" w:line="200" w:lineRule="exact"/>
        <w:ind w:left="-851"/>
        <w:jc w:val="both"/>
        <w:rPr>
          <w:rFonts w:ascii="Times New Roman" w:hAnsi="Times New Roman" w:cs="Times New Roman"/>
          <w:b/>
          <w:sz w:val="20"/>
          <w:szCs w:val="20"/>
        </w:rPr>
      </w:pPr>
    </w:p>
    <w:tbl>
      <w:tblPr>
        <w:tblW w:w="11051" w:type="dxa"/>
        <w:tblInd w:w="-743" w:type="dxa"/>
        <w:tblLayout w:type="fixed"/>
        <w:tblLook w:val="0000"/>
      </w:tblPr>
      <w:tblGrid>
        <w:gridCol w:w="4537"/>
        <w:gridCol w:w="6514"/>
      </w:tblGrid>
      <w:tr w:rsidR="00247604" w:rsidRPr="00362640" w:rsidTr="0060710C">
        <w:trPr>
          <w:trHeight w:val="539"/>
        </w:trPr>
        <w:tc>
          <w:tcPr>
            <w:tcW w:w="4537" w:type="dxa"/>
            <w:tcBorders>
              <w:top w:val="single" w:sz="4" w:space="0" w:color="000000"/>
              <w:left w:val="single" w:sz="4" w:space="0" w:color="000000"/>
              <w:bottom w:val="single" w:sz="4" w:space="0" w:color="000000"/>
              <w:right w:val="single" w:sz="4" w:space="0" w:color="000000"/>
            </w:tcBorders>
          </w:tcPr>
          <w:p w:rsidR="00E06DD9" w:rsidRPr="00362640" w:rsidRDefault="00247604" w:rsidP="00362640">
            <w:pPr>
              <w:tabs>
                <w:tab w:val="left" w:pos="-284"/>
              </w:tabs>
              <w:spacing w:after="0" w:line="200" w:lineRule="exact"/>
              <w:rPr>
                <w:rFonts w:ascii="Times New Roman" w:hAnsi="Times New Roman" w:cs="Times New Roman"/>
                <w:sz w:val="20"/>
                <w:szCs w:val="20"/>
              </w:rPr>
            </w:pPr>
            <w:r w:rsidRPr="00362640">
              <w:rPr>
                <w:rFonts w:ascii="Times New Roman" w:hAnsi="Times New Roman" w:cs="Times New Roman"/>
                <w:sz w:val="20"/>
                <w:szCs w:val="20"/>
              </w:rPr>
              <w:t>Data oraz podpis pacjenta lub przedstawiciela ustawowego</w:t>
            </w:r>
          </w:p>
        </w:tc>
        <w:tc>
          <w:tcPr>
            <w:tcW w:w="6514" w:type="dxa"/>
            <w:tcBorders>
              <w:top w:val="single" w:sz="4" w:space="0" w:color="000000"/>
              <w:left w:val="single" w:sz="4" w:space="0" w:color="000000"/>
              <w:bottom w:val="single" w:sz="4" w:space="0" w:color="000000"/>
              <w:right w:val="single" w:sz="4" w:space="0" w:color="000000"/>
            </w:tcBorders>
            <w:vAlign w:val="center"/>
          </w:tcPr>
          <w:p w:rsidR="00247604" w:rsidRPr="00362640" w:rsidRDefault="00247604" w:rsidP="0060710C">
            <w:pPr>
              <w:tabs>
                <w:tab w:val="left" w:pos="-284"/>
              </w:tabs>
              <w:snapToGrid w:val="0"/>
              <w:spacing w:after="0" w:line="200" w:lineRule="exact"/>
              <w:ind w:left="-851" w:hanging="133"/>
              <w:rPr>
                <w:rFonts w:ascii="Times New Roman" w:hAnsi="Times New Roman" w:cs="Times New Roman"/>
                <w:sz w:val="20"/>
                <w:szCs w:val="20"/>
              </w:rPr>
            </w:pPr>
          </w:p>
          <w:p w:rsidR="00247604" w:rsidRPr="00362640" w:rsidRDefault="00247604" w:rsidP="0060710C">
            <w:pPr>
              <w:tabs>
                <w:tab w:val="left" w:pos="-284"/>
              </w:tabs>
              <w:spacing w:after="0" w:line="200" w:lineRule="exact"/>
              <w:ind w:left="-851" w:hanging="133"/>
              <w:rPr>
                <w:rFonts w:ascii="Times New Roman" w:hAnsi="Times New Roman" w:cs="Times New Roman"/>
                <w:sz w:val="20"/>
                <w:szCs w:val="20"/>
              </w:rPr>
            </w:pPr>
          </w:p>
        </w:tc>
      </w:tr>
      <w:tr w:rsidR="00247604" w:rsidRPr="00362640" w:rsidTr="0060710C">
        <w:trPr>
          <w:trHeight w:val="258"/>
        </w:trPr>
        <w:tc>
          <w:tcPr>
            <w:tcW w:w="4537" w:type="dxa"/>
            <w:tcBorders>
              <w:top w:val="single" w:sz="4" w:space="0" w:color="000000"/>
              <w:left w:val="single" w:sz="4" w:space="0" w:color="000000"/>
              <w:bottom w:val="single" w:sz="4" w:space="0" w:color="000000"/>
              <w:right w:val="single" w:sz="4" w:space="0" w:color="000000"/>
            </w:tcBorders>
          </w:tcPr>
          <w:p w:rsidR="00247604" w:rsidRPr="00362640" w:rsidRDefault="00247604" w:rsidP="0060710C">
            <w:pPr>
              <w:tabs>
                <w:tab w:val="left" w:pos="-284"/>
              </w:tabs>
              <w:spacing w:after="0" w:line="200" w:lineRule="exact"/>
              <w:ind w:left="-851" w:hanging="45"/>
              <w:rPr>
                <w:rFonts w:ascii="Times New Roman" w:hAnsi="Times New Roman" w:cs="Times New Roman"/>
                <w:sz w:val="20"/>
                <w:szCs w:val="20"/>
              </w:rPr>
            </w:pPr>
          </w:p>
          <w:p w:rsidR="00E06DD9" w:rsidRPr="00362640" w:rsidRDefault="00247604" w:rsidP="0060710C">
            <w:pPr>
              <w:tabs>
                <w:tab w:val="left" w:pos="0"/>
              </w:tabs>
              <w:spacing w:after="0" w:line="200" w:lineRule="exact"/>
              <w:ind w:left="-851"/>
              <w:jc w:val="center"/>
              <w:rPr>
                <w:rFonts w:ascii="Times New Roman" w:hAnsi="Times New Roman" w:cs="Times New Roman"/>
                <w:sz w:val="20"/>
                <w:szCs w:val="20"/>
              </w:rPr>
            </w:pPr>
            <w:r w:rsidRPr="00362640">
              <w:rPr>
                <w:rFonts w:ascii="Times New Roman" w:hAnsi="Times New Roman" w:cs="Times New Roman"/>
                <w:sz w:val="20"/>
                <w:szCs w:val="20"/>
              </w:rPr>
              <w:t>Data, podpis oraz pieczątka lekarza</w:t>
            </w:r>
          </w:p>
          <w:p w:rsidR="00E06DD9" w:rsidRPr="00362640" w:rsidRDefault="00E06DD9" w:rsidP="0060710C">
            <w:pPr>
              <w:tabs>
                <w:tab w:val="left" w:pos="0"/>
              </w:tabs>
              <w:spacing w:after="0" w:line="200" w:lineRule="exact"/>
              <w:ind w:left="-851"/>
              <w:jc w:val="center"/>
              <w:rPr>
                <w:rFonts w:ascii="Times New Roman" w:hAnsi="Times New Roman" w:cs="Times New Roman"/>
                <w:sz w:val="20"/>
                <w:szCs w:val="20"/>
              </w:rPr>
            </w:pPr>
          </w:p>
        </w:tc>
        <w:tc>
          <w:tcPr>
            <w:tcW w:w="6514" w:type="dxa"/>
            <w:tcBorders>
              <w:top w:val="single" w:sz="4" w:space="0" w:color="000000"/>
              <w:left w:val="single" w:sz="4" w:space="0" w:color="000000"/>
              <w:bottom w:val="single" w:sz="4" w:space="0" w:color="000000"/>
              <w:right w:val="single" w:sz="4" w:space="0" w:color="000000"/>
            </w:tcBorders>
            <w:vAlign w:val="center"/>
          </w:tcPr>
          <w:p w:rsidR="00247604" w:rsidRPr="00362640" w:rsidRDefault="00247604" w:rsidP="0060710C">
            <w:pPr>
              <w:tabs>
                <w:tab w:val="left" w:pos="-284"/>
              </w:tabs>
              <w:snapToGrid w:val="0"/>
              <w:spacing w:after="0" w:line="200" w:lineRule="exact"/>
              <w:ind w:left="-851" w:hanging="133"/>
              <w:rPr>
                <w:rFonts w:ascii="Times New Roman" w:hAnsi="Times New Roman" w:cs="Times New Roman"/>
                <w:sz w:val="20"/>
                <w:szCs w:val="20"/>
              </w:rPr>
            </w:pPr>
          </w:p>
        </w:tc>
      </w:tr>
    </w:tbl>
    <w:p w:rsidR="00EB6AAA" w:rsidRPr="00BA5ECB" w:rsidRDefault="00EB6AAA" w:rsidP="0060710C">
      <w:pPr>
        <w:spacing w:after="0" w:line="200" w:lineRule="exact"/>
        <w:jc w:val="both"/>
        <w:rPr>
          <w:rFonts w:ascii="Century Gothic" w:hAnsi="Century Gothic"/>
          <w:sz w:val="20"/>
          <w:szCs w:val="20"/>
        </w:rPr>
      </w:pPr>
    </w:p>
    <w:sectPr w:rsidR="00EB6AAA" w:rsidRPr="00BA5ECB" w:rsidSect="00E06DD9">
      <w:headerReference w:type="default" r:id="rId8"/>
      <w:footerReference w:type="default" r:id="rId9"/>
      <w:headerReference w:type="first" r:id="rId10"/>
      <w:footerReference w:type="first" r:id="rId11"/>
      <w:pgSz w:w="11906" w:h="16838"/>
      <w:pgMar w:top="0" w:right="1133" w:bottom="1417" w:left="1417" w:header="0" w:footer="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3672" w:rsidRDefault="000E3672" w:rsidP="00E637FA">
      <w:pPr>
        <w:spacing w:after="0" w:line="240" w:lineRule="auto"/>
      </w:pPr>
      <w:r>
        <w:separator/>
      </w:r>
    </w:p>
  </w:endnote>
  <w:endnote w:type="continuationSeparator" w:id="0">
    <w:p w:rsidR="000E3672" w:rsidRDefault="000E3672"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Segoe UI Symbol">
    <w:panose1 w:val="020B0502040204020203"/>
    <w:charset w:val="00"/>
    <w:family w:val="swiss"/>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6525683" cy="635096"/>
          <wp:effectExtent l="19050" t="0" r="8467"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6566057" cy="639025"/>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3672" w:rsidRDefault="000E3672" w:rsidP="00E637FA">
      <w:pPr>
        <w:spacing w:after="0" w:line="240" w:lineRule="auto"/>
      </w:pPr>
      <w:r>
        <w:separator/>
      </w:r>
    </w:p>
  </w:footnote>
  <w:footnote w:type="continuationSeparator" w:id="0">
    <w:p w:rsidR="000E3672" w:rsidRDefault="000E3672"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94DF8"/>
    <w:multiLevelType w:val="hybridMultilevel"/>
    <w:tmpl w:val="12BE65B4"/>
    <w:lvl w:ilvl="0" w:tplc="04150017">
      <w:start w:val="1"/>
      <w:numFmt w:val="lowerLetter"/>
      <w:lvlText w:val="%1)"/>
      <w:lvlJc w:val="left"/>
      <w:pPr>
        <w:ind w:left="770" w:hanging="360"/>
      </w:pPr>
    </w:lvl>
    <w:lvl w:ilvl="1" w:tplc="04150019" w:tentative="1">
      <w:start w:val="1"/>
      <w:numFmt w:val="lowerLetter"/>
      <w:lvlText w:val="%2."/>
      <w:lvlJc w:val="left"/>
      <w:pPr>
        <w:ind w:left="1490" w:hanging="360"/>
      </w:pPr>
    </w:lvl>
    <w:lvl w:ilvl="2" w:tplc="0415001B" w:tentative="1">
      <w:start w:val="1"/>
      <w:numFmt w:val="lowerRoman"/>
      <w:lvlText w:val="%3."/>
      <w:lvlJc w:val="right"/>
      <w:pPr>
        <w:ind w:left="2210" w:hanging="180"/>
      </w:pPr>
    </w:lvl>
    <w:lvl w:ilvl="3" w:tplc="0415000F" w:tentative="1">
      <w:start w:val="1"/>
      <w:numFmt w:val="decimal"/>
      <w:lvlText w:val="%4."/>
      <w:lvlJc w:val="left"/>
      <w:pPr>
        <w:ind w:left="2930" w:hanging="360"/>
      </w:pPr>
    </w:lvl>
    <w:lvl w:ilvl="4" w:tplc="04150019" w:tentative="1">
      <w:start w:val="1"/>
      <w:numFmt w:val="lowerLetter"/>
      <w:lvlText w:val="%5."/>
      <w:lvlJc w:val="left"/>
      <w:pPr>
        <w:ind w:left="3650" w:hanging="360"/>
      </w:pPr>
    </w:lvl>
    <w:lvl w:ilvl="5" w:tplc="0415001B" w:tentative="1">
      <w:start w:val="1"/>
      <w:numFmt w:val="lowerRoman"/>
      <w:lvlText w:val="%6."/>
      <w:lvlJc w:val="right"/>
      <w:pPr>
        <w:ind w:left="4370" w:hanging="180"/>
      </w:pPr>
    </w:lvl>
    <w:lvl w:ilvl="6" w:tplc="0415000F" w:tentative="1">
      <w:start w:val="1"/>
      <w:numFmt w:val="decimal"/>
      <w:lvlText w:val="%7."/>
      <w:lvlJc w:val="left"/>
      <w:pPr>
        <w:ind w:left="5090" w:hanging="360"/>
      </w:pPr>
    </w:lvl>
    <w:lvl w:ilvl="7" w:tplc="04150019" w:tentative="1">
      <w:start w:val="1"/>
      <w:numFmt w:val="lowerLetter"/>
      <w:lvlText w:val="%8."/>
      <w:lvlJc w:val="left"/>
      <w:pPr>
        <w:ind w:left="5810" w:hanging="360"/>
      </w:pPr>
    </w:lvl>
    <w:lvl w:ilvl="8" w:tplc="0415001B" w:tentative="1">
      <w:start w:val="1"/>
      <w:numFmt w:val="lowerRoman"/>
      <w:lvlText w:val="%9."/>
      <w:lvlJc w:val="right"/>
      <w:pPr>
        <w:ind w:left="653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4098"/>
  </w:hdrShapeDefaults>
  <w:footnotePr>
    <w:footnote w:id="-1"/>
    <w:footnote w:id="0"/>
  </w:footnotePr>
  <w:endnotePr>
    <w:endnote w:id="-1"/>
    <w:endnote w:id="0"/>
  </w:endnotePr>
  <w:compat/>
  <w:rsids>
    <w:rsidRoot w:val="00E637FA"/>
    <w:rsid w:val="00012DC7"/>
    <w:rsid w:val="00030863"/>
    <w:rsid w:val="00036DFD"/>
    <w:rsid w:val="00063262"/>
    <w:rsid w:val="000A79DF"/>
    <w:rsid w:val="000C6FAC"/>
    <w:rsid w:val="000E3672"/>
    <w:rsid w:val="0010050F"/>
    <w:rsid w:val="00101652"/>
    <w:rsid w:val="00106356"/>
    <w:rsid w:val="0019682E"/>
    <w:rsid w:val="001A2B64"/>
    <w:rsid w:val="001F0124"/>
    <w:rsid w:val="00234411"/>
    <w:rsid w:val="00247604"/>
    <w:rsid w:val="002F4BAB"/>
    <w:rsid w:val="00332339"/>
    <w:rsid w:val="00362640"/>
    <w:rsid w:val="0037774A"/>
    <w:rsid w:val="003E4324"/>
    <w:rsid w:val="003E6869"/>
    <w:rsid w:val="004170C6"/>
    <w:rsid w:val="00424D4A"/>
    <w:rsid w:val="0046603A"/>
    <w:rsid w:val="0049075E"/>
    <w:rsid w:val="00504CFC"/>
    <w:rsid w:val="0055171D"/>
    <w:rsid w:val="00553DA8"/>
    <w:rsid w:val="005A5F2B"/>
    <w:rsid w:val="005A72E5"/>
    <w:rsid w:val="005B7D22"/>
    <w:rsid w:val="005C3646"/>
    <w:rsid w:val="005F7EE5"/>
    <w:rsid w:val="00600C79"/>
    <w:rsid w:val="0060710C"/>
    <w:rsid w:val="00612639"/>
    <w:rsid w:val="00640F6A"/>
    <w:rsid w:val="006702D5"/>
    <w:rsid w:val="006C434C"/>
    <w:rsid w:val="006C473B"/>
    <w:rsid w:val="006E2796"/>
    <w:rsid w:val="007015E6"/>
    <w:rsid w:val="00735429"/>
    <w:rsid w:val="007C26F2"/>
    <w:rsid w:val="007C7DD4"/>
    <w:rsid w:val="00871EEA"/>
    <w:rsid w:val="00872319"/>
    <w:rsid w:val="00950D74"/>
    <w:rsid w:val="0098025B"/>
    <w:rsid w:val="009F013A"/>
    <w:rsid w:val="009F5B10"/>
    <w:rsid w:val="00A33A61"/>
    <w:rsid w:val="00A45C65"/>
    <w:rsid w:val="00A83918"/>
    <w:rsid w:val="00AD264F"/>
    <w:rsid w:val="00AE4D15"/>
    <w:rsid w:val="00AF2A10"/>
    <w:rsid w:val="00B03C98"/>
    <w:rsid w:val="00B307B4"/>
    <w:rsid w:val="00B5377A"/>
    <w:rsid w:val="00B57213"/>
    <w:rsid w:val="00B77395"/>
    <w:rsid w:val="00BA2DDD"/>
    <w:rsid w:val="00BA5ECB"/>
    <w:rsid w:val="00BB2776"/>
    <w:rsid w:val="00C05861"/>
    <w:rsid w:val="00C059A6"/>
    <w:rsid w:val="00C47B58"/>
    <w:rsid w:val="00C609D0"/>
    <w:rsid w:val="00D5645F"/>
    <w:rsid w:val="00D9070B"/>
    <w:rsid w:val="00DB6EB4"/>
    <w:rsid w:val="00DE014C"/>
    <w:rsid w:val="00E06DD9"/>
    <w:rsid w:val="00E53D17"/>
    <w:rsid w:val="00E637FA"/>
    <w:rsid w:val="00E7219D"/>
    <w:rsid w:val="00EB4CB9"/>
    <w:rsid w:val="00EB6AAA"/>
    <w:rsid w:val="00EC59BF"/>
    <w:rsid w:val="00F3444C"/>
    <w:rsid w:val="00F97BB4"/>
    <w:rsid w:val="00FB640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paragraph" w:styleId="Akapitzlist">
    <w:name w:val="List Paragraph"/>
    <w:basedOn w:val="Normalny"/>
    <w:uiPriority w:val="34"/>
    <w:qFormat/>
    <w:rsid w:val="00FB640B"/>
    <w:pPr>
      <w:ind w:left="720"/>
      <w:contextualSpacing/>
    </w:pPr>
  </w:style>
  <w:style w:type="character" w:customStyle="1" w:styleId="citation-0">
    <w:name w:val="citation-0"/>
    <w:basedOn w:val="Domylnaczcionkaakapitu"/>
    <w:rsid w:val="005F7EE5"/>
  </w:style>
  <w:style w:type="character" w:customStyle="1" w:styleId="citation-1">
    <w:name w:val="citation-1"/>
    <w:basedOn w:val="Domylnaczcionkaakapitu"/>
    <w:rsid w:val="005F7EE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55F298-FAC0-4332-A12C-2D8EE4D42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5089</Words>
  <Characters>30537</Characters>
  <Application>Microsoft Office Word</Application>
  <DocSecurity>0</DocSecurity>
  <Lines>254</Lines>
  <Paragraphs>71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35555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2</cp:revision>
  <cp:lastPrinted>2025-12-22T08:55:00Z</cp:lastPrinted>
  <dcterms:created xsi:type="dcterms:W3CDTF">2026-02-23T08:24:00Z</dcterms:created>
  <dcterms:modified xsi:type="dcterms:W3CDTF">2026-02-23T08:24:00Z</dcterms:modified>
</cp:coreProperties>
</file>