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22A" w:rsidRPr="00AE21F7" w:rsidRDefault="005E21C1" w:rsidP="0080322A">
      <w:pPr>
        <w:spacing w:after="0"/>
        <w:jc w:val="center"/>
        <w:outlineLvl w:val="1"/>
        <w:rPr>
          <w:rFonts w:ascii="Century Gothic" w:eastAsia="Times New Roman" w:hAnsi="Century Gothic" w:cs="Times New Roman"/>
          <w:b/>
          <w:smallCaps/>
          <w:sz w:val="36"/>
          <w:szCs w:val="36"/>
          <w:lang w:eastAsia="pl-PL"/>
        </w:rPr>
      </w:pPr>
      <w:r>
        <w:rPr>
          <w:rFonts w:ascii="Century Gothic" w:eastAsia="Times New Roman" w:hAnsi="Century Gothic" w:cs="Times New Roman"/>
          <w:b/>
          <w:smallCaps/>
          <w:sz w:val="36"/>
          <w:szCs w:val="36"/>
          <w:lang w:eastAsia="pl-PL"/>
        </w:rPr>
        <w:t>A</w:t>
      </w:r>
      <w:r w:rsidR="0080322A" w:rsidRPr="00F74933">
        <w:rPr>
          <w:rFonts w:ascii="Century Gothic" w:eastAsia="Times New Roman" w:hAnsi="Century Gothic" w:cs="Times New Roman"/>
          <w:b/>
          <w:smallCaps/>
          <w:sz w:val="36"/>
          <w:szCs w:val="36"/>
          <w:lang w:eastAsia="pl-PL"/>
        </w:rPr>
        <w:t>naliza satysfakcji pacjenta z wykonanej usługi medycznej - PASAT IKP 2025</w:t>
      </w:r>
    </w:p>
    <w:p w:rsidR="0080322A" w:rsidRPr="00F74933" w:rsidRDefault="0080322A" w:rsidP="0080322A">
      <w:pPr>
        <w:spacing w:after="0"/>
        <w:jc w:val="both"/>
        <w:outlineLvl w:val="1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80322A" w:rsidRPr="00F74933" w:rsidRDefault="0080322A" w:rsidP="0080322A">
      <w:pPr>
        <w:spacing w:after="120"/>
        <w:jc w:val="both"/>
        <w:rPr>
          <w:rFonts w:ascii="Century Gothic" w:eastAsia="Times New Roman" w:hAnsi="Century Gothic" w:cs="Times New Roman"/>
          <w:lang w:eastAsia="pl-PL"/>
        </w:rPr>
      </w:pPr>
      <w:r w:rsidRPr="00F74933">
        <w:rPr>
          <w:rFonts w:ascii="Century Gothic" w:eastAsia="Times New Roman" w:hAnsi="Century Gothic" w:cs="Times New Roman"/>
          <w:lang w:eastAsia="pl-PL"/>
        </w:rPr>
        <w:t xml:space="preserve">Szpital Uniwersytecki nr 2 im. dr. </w:t>
      </w:r>
      <w:r w:rsidRPr="0080322A">
        <w:rPr>
          <w:rFonts w:ascii="Century Gothic" w:eastAsia="Times New Roman" w:hAnsi="Century Gothic" w:cs="Times New Roman"/>
          <w:lang w:eastAsia="pl-PL"/>
        </w:rPr>
        <w:t>Jana Biziela w Bydgoszczy współpracuje z Centrum Monitorowania Jakością (CMJ) w Krakowie w zakresie przeprowadzenia badań satysfakcji pacjenta w Klinikach/Oddziałach szpitalnych - PASAT IKP</w:t>
      </w:r>
      <w:r w:rsidRPr="00F74933">
        <w:rPr>
          <w:rFonts w:ascii="Century Gothic" w:eastAsia="Times New Roman" w:hAnsi="Century Gothic" w:cs="Times New Roman"/>
          <w:lang w:eastAsia="pl-PL"/>
        </w:rPr>
        <w:t>.</w:t>
      </w:r>
    </w:p>
    <w:p w:rsidR="0080322A" w:rsidRPr="00E7316E" w:rsidRDefault="0080322A" w:rsidP="0080322A">
      <w:pPr>
        <w:spacing w:after="120"/>
        <w:jc w:val="both"/>
        <w:rPr>
          <w:rFonts w:ascii="Century Gothic" w:eastAsia="Times New Roman" w:hAnsi="Century Gothic" w:cs="Times New Roman"/>
          <w:lang w:eastAsia="pl-PL"/>
        </w:rPr>
      </w:pPr>
      <w:r w:rsidRPr="0080322A">
        <w:rPr>
          <w:rFonts w:ascii="Century Gothic" w:eastAsia="Times New Roman" w:hAnsi="Century Gothic" w:cs="Times New Roman"/>
          <w:lang w:eastAsia="pl-PL"/>
        </w:rPr>
        <w:t>Niniejsza analiza opiera się na danych ilościowych z raportu ogólnego dla Szpitala Uniwersyteckiego nr 2 w roku 2025. Zestawienie koncentruje się na wynikach dla poszczególnych pytań ankiety PASAT IKP, ocenianych w skali od 0 (</w:t>
      </w:r>
      <w:r w:rsidRPr="0080322A">
        <w:rPr>
          <w:rFonts w:ascii="Century Gothic" w:eastAsia="Times New Roman" w:hAnsi="Century Gothic" w:cs="Times New Roman"/>
          <w:smallCaps/>
          <w:lang w:eastAsia="pl-PL"/>
        </w:rPr>
        <w:t>bardzo źle</w:t>
      </w:r>
      <w:r w:rsidRPr="0080322A">
        <w:rPr>
          <w:rFonts w:ascii="Century Gothic" w:eastAsia="Times New Roman" w:hAnsi="Century Gothic" w:cs="Times New Roman"/>
          <w:lang w:eastAsia="pl-PL"/>
        </w:rPr>
        <w:t>) do 10 (</w:t>
      </w:r>
      <w:r w:rsidRPr="0080322A">
        <w:rPr>
          <w:rFonts w:ascii="Century Gothic" w:eastAsia="Times New Roman" w:hAnsi="Century Gothic" w:cs="Times New Roman"/>
          <w:smallCaps/>
          <w:lang w:eastAsia="pl-PL"/>
        </w:rPr>
        <w:t>bardzo dobrze</w:t>
      </w:r>
      <w:r w:rsidRPr="0080322A">
        <w:rPr>
          <w:rFonts w:ascii="Century Gothic" w:eastAsia="Times New Roman" w:hAnsi="Century Gothic" w:cs="Times New Roman"/>
          <w:lang w:eastAsia="pl-PL"/>
        </w:rPr>
        <w:t>)</w:t>
      </w:r>
      <w:r>
        <w:rPr>
          <w:rFonts w:ascii="Century Gothic" w:eastAsia="Times New Roman" w:hAnsi="Century Gothic" w:cs="Times New Roman"/>
          <w:lang w:eastAsia="pl-PL"/>
        </w:rPr>
        <w:t xml:space="preserve">, </w:t>
      </w:r>
      <w:r w:rsidRPr="00E7316E">
        <w:rPr>
          <w:rFonts w:ascii="Century Gothic" w:eastAsia="Times New Roman" w:hAnsi="Century Gothic" w:cs="Times New Roman"/>
          <w:lang w:eastAsia="pl-PL"/>
        </w:rPr>
        <w:t>z naciskiem na identyfikację obszarów, które działają dobrze oraz tych, które wymagają doskonalenia.</w:t>
      </w:r>
    </w:p>
    <w:p w:rsidR="0080322A" w:rsidRPr="00F74933" w:rsidRDefault="0080322A" w:rsidP="0080322A">
      <w:pPr>
        <w:spacing w:after="120"/>
        <w:jc w:val="both"/>
        <w:rPr>
          <w:rFonts w:ascii="Century Gothic" w:eastAsia="Times New Roman" w:hAnsi="Century Gothic" w:cs="Times New Roman"/>
          <w:lang w:eastAsia="pl-PL"/>
        </w:rPr>
      </w:pPr>
      <w:r w:rsidRPr="0080322A">
        <w:rPr>
          <w:rFonts w:ascii="Century Gothic" w:eastAsia="Times New Roman" w:hAnsi="Century Gothic" w:cs="Times New Roman"/>
          <w:lang w:eastAsia="pl-PL"/>
        </w:rPr>
        <w:t>Dla potrzeb analizy przyjęto następujące obszary</w:t>
      </w:r>
      <w:r w:rsidRPr="00F74933">
        <w:rPr>
          <w:rFonts w:ascii="Century Gothic" w:eastAsia="Times New Roman" w:hAnsi="Century Gothic" w:cs="Times New Roman"/>
          <w:lang w:eastAsia="pl-PL"/>
        </w:rPr>
        <w:t>:</w:t>
      </w:r>
    </w:p>
    <w:tbl>
      <w:tblPr>
        <w:tblStyle w:val="Tabela-Siatka"/>
        <w:tblW w:w="9640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424"/>
        <w:gridCol w:w="2309"/>
        <w:gridCol w:w="4907"/>
      </w:tblGrid>
      <w:tr w:rsidR="00A53AE9" w:rsidRPr="00E7316E" w:rsidTr="009B00F3">
        <w:trPr>
          <w:trHeight w:hRule="exact" w:val="340"/>
        </w:trPr>
        <w:tc>
          <w:tcPr>
            <w:tcW w:w="2381" w:type="dxa"/>
            <w:vAlign w:val="center"/>
          </w:tcPr>
          <w:p w:rsidR="00A53AE9" w:rsidRPr="00E7316E" w:rsidRDefault="00A53AE9" w:rsidP="00A53AE9">
            <w:pPr>
              <w:pStyle w:val="Akapitzlist"/>
              <w:numPr>
                <w:ilvl w:val="0"/>
                <w:numId w:val="9"/>
              </w:numPr>
              <w:ind w:left="170" w:hanging="170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b/>
                <w:bCs/>
                <w:lang w:eastAsia="pl-PL"/>
              </w:rPr>
              <w:t>Obszar DOBRY:</w:t>
            </w:r>
          </w:p>
        </w:tc>
        <w:tc>
          <w:tcPr>
            <w:tcW w:w="2268" w:type="dxa"/>
            <w:vAlign w:val="center"/>
          </w:tcPr>
          <w:p w:rsidR="00A53AE9" w:rsidRPr="00E7316E" w:rsidRDefault="00A53AE9" w:rsidP="009B00F3">
            <w:pPr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>oceny 9 i 10</w:t>
            </w:r>
          </w:p>
        </w:tc>
        <w:tc>
          <w:tcPr>
            <w:tcW w:w="4820" w:type="dxa"/>
            <w:vAlign w:val="center"/>
          </w:tcPr>
          <w:p w:rsidR="00A53AE9" w:rsidRPr="00E7316E" w:rsidRDefault="00A53AE9" w:rsidP="00A53AE9">
            <w:pPr>
              <w:pStyle w:val="Akapitzlist"/>
              <w:numPr>
                <w:ilvl w:val="0"/>
                <w:numId w:val="10"/>
              </w:numPr>
              <w:ind w:left="56" w:hanging="113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 xml:space="preserve"> Zadowolenie</w:t>
            </w:r>
          </w:p>
        </w:tc>
      </w:tr>
      <w:tr w:rsidR="00A53AE9" w:rsidRPr="00E7316E" w:rsidTr="009B00F3">
        <w:trPr>
          <w:trHeight w:hRule="exact" w:val="340"/>
        </w:trPr>
        <w:tc>
          <w:tcPr>
            <w:tcW w:w="2381" w:type="dxa"/>
            <w:vAlign w:val="center"/>
          </w:tcPr>
          <w:p w:rsidR="00A53AE9" w:rsidRPr="00E7316E" w:rsidRDefault="00A53AE9" w:rsidP="00A53AE9">
            <w:pPr>
              <w:pStyle w:val="Akapitzlist"/>
              <w:numPr>
                <w:ilvl w:val="0"/>
                <w:numId w:val="9"/>
              </w:numPr>
              <w:ind w:left="170" w:hanging="170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b/>
                <w:bCs/>
                <w:lang w:eastAsia="pl-PL"/>
              </w:rPr>
              <w:t>Obszar OBOJĘTNY:</w:t>
            </w:r>
          </w:p>
        </w:tc>
        <w:tc>
          <w:tcPr>
            <w:tcW w:w="2268" w:type="dxa"/>
            <w:vAlign w:val="center"/>
          </w:tcPr>
          <w:p w:rsidR="00A53AE9" w:rsidRPr="00E7316E" w:rsidRDefault="00A53AE9" w:rsidP="009B00F3">
            <w:pPr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>oceny 7 i 8</w:t>
            </w:r>
          </w:p>
        </w:tc>
        <w:tc>
          <w:tcPr>
            <w:tcW w:w="4820" w:type="dxa"/>
            <w:vAlign w:val="center"/>
          </w:tcPr>
          <w:p w:rsidR="00A53AE9" w:rsidRPr="00E7316E" w:rsidRDefault="00A53AE9" w:rsidP="00A53AE9">
            <w:pPr>
              <w:pStyle w:val="Akapitzlist"/>
              <w:numPr>
                <w:ilvl w:val="0"/>
                <w:numId w:val="10"/>
              </w:numPr>
              <w:ind w:left="56" w:hanging="113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 xml:space="preserve"> Neutralność/Akceptacja</w:t>
            </w:r>
          </w:p>
        </w:tc>
      </w:tr>
      <w:tr w:rsidR="00A53AE9" w:rsidRPr="00E7316E" w:rsidTr="009B00F3">
        <w:trPr>
          <w:trHeight w:hRule="exact" w:val="340"/>
        </w:trPr>
        <w:tc>
          <w:tcPr>
            <w:tcW w:w="2381" w:type="dxa"/>
            <w:vAlign w:val="center"/>
          </w:tcPr>
          <w:p w:rsidR="00A53AE9" w:rsidRPr="00E7316E" w:rsidRDefault="00A53AE9" w:rsidP="00A53AE9">
            <w:pPr>
              <w:pStyle w:val="Akapitzlist"/>
              <w:numPr>
                <w:ilvl w:val="0"/>
                <w:numId w:val="9"/>
              </w:numPr>
              <w:ind w:left="170" w:hanging="170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b/>
                <w:bCs/>
                <w:lang w:eastAsia="pl-PL"/>
              </w:rPr>
              <w:t>Obszar ZŁY:</w:t>
            </w:r>
          </w:p>
        </w:tc>
        <w:tc>
          <w:tcPr>
            <w:tcW w:w="2268" w:type="dxa"/>
            <w:vAlign w:val="center"/>
          </w:tcPr>
          <w:p w:rsidR="00A53AE9" w:rsidRPr="00E7316E" w:rsidRDefault="00A53AE9" w:rsidP="009B00F3">
            <w:pPr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>oceny od 0 do 6</w:t>
            </w:r>
          </w:p>
        </w:tc>
        <w:tc>
          <w:tcPr>
            <w:tcW w:w="4820" w:type="dxa"/>
            <w:vAlign w:val="center"/>
          </w:tcPr>
          <w:p w:rsidR="00A53AE9" w:rsidRPr="00E7316E" w:rsidRDefault="00A53AE9" w:rsidP="00A53AE9">
            <w:pPr>
              <w:pStyle w:val="Akapitzlist"/>
              <w:numPr>
                <w:ilvl w:val="0"/>
                <w:numId w:val="10"/>
              </w:numPr>
              <w:ind w:left="56" w:hanging="113"/>
              <w:contextualSpacing w:val="0"/>
              <w:rPr>
                <w:rFonts w:ascii="Century Gothic" w:eastAsia="Times New Roman" w:hAnsi="Century Gothic" w:cs="Times New Roman"/>
                <w:lang w:eastAsia="pl-PL"/>
              </w:rPr>
            </w:pPr>
            <w:r w:rsidRPr="00E7316E">
              <w:rPr>
                <w:rFonts w:ascii="Century Gothic" w:eastAsia="Times New Roman" w:hAnsi="Century Gothic" w:cs="Times New Roman"/>
                <w:lang w:eastAsia="pl-PL"/>
              </w:rPr>
              <w:t xml:space="preserve"> Niezadowolenie/Problemy</w:t>
            </w:r>
            <w:r>
              <w:rPr>
                <w:rFonts w:ascii="Century Gothic" w:eastAsia="Times New Roman" w:hAnsi="Century Gothic" w:cs="Times New Roman"/>
                <w:lang w:eastAsia="pl-PL"/>
              </w:rPr>
              <w:t>/Krytyka</w:t>
            </w:r>
          </w:p>
        </w:tc>
      </w:tr>
    </w:tbl>
    <w:p w:rsidR="0080322A" w:rsidRPr="00F74933" w:rsidRDefault="0080322A" w:rsidP="0080322A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80322A" w:rsidRPr="00F74933" w:rsidRDefault="0080322A" w:rsidP="0080322A">
      <w:pPr>
        <w:spacing w:after="120"/>
        <w:jc w:val="both"/>
        <w:outlineLvl w:val="2"/>
        <w:rPr>
          <w:rFonts w:ascii="Century Gothic" w:eastAsia="Times New Roman" w:hAnsi="Century Gothic" w:cs="Times New Roman"/>
          <w:b/>
          <w:bCs/>
          <w:sz w:val="24"/>
          <w:szCs w:val="24"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sz w:val="24"/>
          <w:szCs w:val="24"/>
          <w:lang w:eastAsia="pl-PL"/>
        </w:rPr>
        <w:t>I. Analiza ogólnych wskaźników satysfakcji</w:t>
      </w:r>
    </w:p>
    <w:p w:rsidR="0080322A" w:rsidRPr="00F74933" w:rsidRDefault="0080322A" w:rsidP="0080322A">
      <w:pPr>
        <w:spacing w:after="120"/>
        <w:jc w:val="both"/>
        <w:rPr>
          <w:rFonts w:ascii="Century Gothic" w:eastAsia="Times New Roman" w:hAnsi="Century Gothic" w:cs="Times New Roman"/>
          <w:lang w:eastAsia="pl-PL"/>
        </w:rPr>
      </w:pPr>
      <w:r w:rsidRPr="00F74933">
        <w:rPr>
          <w:rFonts w:ascii="Century Gothic" w:eastAsia="Times New Roman" w:hAnsi="Century Gothic" w:cs="Times New Roman"/>
          <w:lang w:eastAsia="pl-PL"/>
        </w:rPr>
        <w:t>Poniższa tabela przedstawia wyniki zbiorcze d</w:t>
      </w:r>
      <w:r>
        <w:rPr>
          <w:rFonts w:ascii="Century Gothic" w:eastAsia="Times New Roman" w:hAnsi="Century Gothic" w:cs="Times New Roman"/>
          <w:lang w:eastAsia="pl-PL"/>
        </w:rPr>
        <w:t>la wszystkich badanych obszarów</w:t>
      </w:r>
      <w:r>
        <w:rPr>
          <w:rFonts w:ascii="Century Gothic" w:eastAsia="Times New Roman" w:hAnsi="Century Gothic" w:cs="Times New Roman"/>
          <w:lang w:eastAsia="pl-PL"/>
        </w:rPr>
        <w:br/>
      </w:r>
      <w:r w:rsidRPr="00F74933">
        <w:rPr>
          <w:rFonts w:ascii="Century Gothic" w:eastAsia="Times New Roman" w:hAnsi="Century Gothic" w:cs="Times New Roman"/>
          <w:lang w:eastAsia="pl-PL"/>
        </w:rPr>
        <w:t>w roku 2025:</w:t>
      </w:r>
    </w:p>
    <w:tbl>
      <w:tblPr>
        <w:tblStyle w:val="Tabela-Siatka"/>
        <w:tblW w:w="0" w:type="auto"/>
        <w:tblLook w:val="04A0"/>
      </w:tblPr>
      <w:tblGrid>
        <w:gridCol w:w="596"/>
        <w:gridCol w:w="2589"/>
        <w:gridCol w:w="1174"/>
        <w:gridCol w:w="1176"/>
        <w:gridCol w:w="1406"/>
        <w:gridCol w:w="1092"/>
        <w:gridCol w:w="1255"/>
      </w:tblGrid>
      <w:tr w:rsidR="0080322A" w:rsidTr="00555C52">
        <w:tc>
          <w:tcPr>
            <w:tcW w:w="3049" w:type="dxa"/>
            <w:gridSpan w:val="2"/>
            <w:shd w:val="clear" w:color="auto" w:fill="F2F2F2" w:themeFill="background1" w:themeFillShade="F2"/>
            <w:vAlign w:val="center"/>
          </w:tcPr>
          <w:p w:rsidR="0080322A" w:rsidRPr="00004E25" w:rsidRDefault="0080322A" w:rsidP="00CD492D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                             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      </w:t>
            </w: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Ocena</w:t>
            </w:r>
          </w:p>
          <w:p w:rsidR="0080322A" w:rsidRPr="00004E25" w:rsidRDefault="0080322A" w:rsidP="00CD492D">
            <w:pP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004E2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Pytanie</w:t>
            </w:r>
          </w:p>
        </w:tc>
        <w:tc>
          <w:tcPr>
            <w:tcW w:w="1200" w:type="dxa"/>
            <w:shd w:val="clear" w:color="auto" w:fill="F2F2F2" w:themeFill="background1" w:themeFillShade="F2"/>
          </w:tcPr>
          <w:p w:rsidR="0080322A" w:rsidRPr="003022EB" w:rsidRDefault="0080322A" w:rsidP="00CD492D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>Pozytywna</w:t>
            </w:r>
            <w:r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>– ocena</w:t>
            </w:r>
            <w:r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10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br/>
              <w:t xml:space="preserve"> (bardzo dobrze)</w:t>
            </w:r>
          </w:p>
        </w:tc>
        <w:tc>
          <w:tcPr>
            <w:tcW w:w="1200" w:type="dxa"/>
            <w:shd w:val="clear" w:color="auto" w:fill="F2F2F2" w:themeFill="background1" w:themeFillShade="F2"/>
          </w:tcPr>
          <w:p w:rsidR="0080322A" w:rsidRPr="003022EB" w:rsidRDefault="0080322A" w:rsidP="00CD492D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P</w:t>
            </w: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>ozytywna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– ocena 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9 (dobrze)</w:t>
            </w:r>
          </w:p>
        </w:tc>
        <w:tc>
          <w:tcPr>
            <w:tcW w:w="1439" w:type="dxa"/>
            <w:shd w:val="clear" w:color="auto" w:fill="F2F2F2" w:themeFill="background1" w:themeFillShade="F2"/>
          </w:tcPr>
          <w:p w:rsidR="0080322A" w:rsidRPr="000C1474" w:rsidRDefault="0080322A" w:rsidP="00CD492D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</w:pP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>Suma pozytywnych</w:t>
            </w:r>
          </w:p>
          <w:p w:rsidR="0080322A" w:rsidRPr="003022EB" w:rsidRDefault="0080322A" w:rsidP="00CD492D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(</w:t>
            </w:r>
            <w:r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oceny 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10+9)</w:t>
            </w:r>
          </w:p>
        </w:tc>
        <w:tc>
          <w:tcPr>
            <w:tcW w:w="1116" w:type="dxa"/>
            <w:shd w:val="clear" w:color="auto" w:fill="F2F2F2" w:themeFill="background1" w:themeFillShade="F2"/>
          </w:tcPr>
          <w:p w:rsidR="0080322A" w:rsidRPr="003022EB" w:rsidRDefault="0080322A" w:rsidP="00CD492D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 xml:space="preserve">Neutralne 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(</w:t>
            </w:r>
            <w:r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oceny 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8+7)</w:t>
            </w:r>
          </w:p>
        </w:tc>
        <w:tc>
          <w:tcPr>
            <w:tcW w:w="1284" w:type="dxa"/>
            <w:shd w:val="clear" w:color="auto" w:fill="F2F2F2" w:themeFill="background1" w:themeFillShade="F2"/>
          </w:tcPr>
          <w:p w:rsidR="0080322A" w:rsidRDefault="0080322A" w:rsidP="00CD492D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0C1474">
              <w:rPr>
                <w:rFonts w:ascii="Century Gothic" w:eastAsia="Times New Roman" w:hAnsi="Century Gothic" w:cstheme="minorHAnsi"/>
                <w:b/>
                <w:bCs/>
                <w:sz w:val="16"/>
                <w:szCs w:val="16"/>
                <w:lang w:eastAsia="pl-PL"/>
              </w:rPr>
              <w:t>Negatywne</w:t>
            </w: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ocena</w:t>
            </w:r>
          </w:p>
          <w:p w:rsidR="0080322A" w:rsidRPr="003022EB" w:rsidRDefault="0080322A" w:rsidP="00CD492D">
            <w:pPr>
              <w:spacing w:before="40"/>
              <w:jc w:val="center"/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</w:pPr>
            <w:r w:rsidRPr="003022EB">
              <w:rPr>
                <w:rFonts w:ascii="Century Gothic" w:eastAsia="Times New Roman" w:hAnsi="Century Gothic" w:cstheme="minorHAnsi"/>
                <w:b/>
                <w:bCs/>
                <w:sz w:val="18"/>
                <w:szCs w:val="18"/>
                <w:lang w:eastAsia="pl-PL"/>
              </w:rPr>
              <w:t>6–0)</w:t>
            </w:r>
          </w:p>
        </w:tc>
      </w:tr>
      <w:tr w:rsidR="0080322A" w:rsidTr="00555C52">
        <w:trPr>
          <w:trHeight w:hRule="exact" w:val="454"/>
        </w:trPr>
        <w:tc>
          <w:tcPr>
            <w:tcW w:w="576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D02</w:t>
            </w:r>
          </w:p>
        </w:tc>
        <w:tc>
          <w:tcPr>
            <w:tcW w:w="2473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Czystość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61,36%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15,30%</w:t>
            </w:r>
          </w:p>
        </w:tc>
        <w:tc>
          <w:tcPr>
            <w:tcW w:w="1439" w:type="dxa"/>
            <w:shd w:val="clear" w:color="auto" w:fill="EAF1DD" w:themeFill="accent3" w:themeFillTint="33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76,66%</w:t>
            </w:r>
          </w:p>
        </w:tc>
        <w:tc>
          <w:tcPr>
            <w:tcW w:w="1116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10,57%</w:t>
            </w:r>
          </w:p>
        </w:tc>
        <w:tc>
          <w:tcPr>
            <w:tcW w:w="1284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12,77%</w:t>
            </w:r>
          </w:p>
        </w:tc>
      </w:tr>
      <w:tr w:rsidR="0080322A" w:rsidTr="00555C52">
        <w:trPr>
          <w:trHeight w:hRule="exact" w:val="454"/>
        </w:trPr>
        <w:tc>
          <w:tcPr>
            <w:tcW w:w="576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C02</w:t>
            </w:r>
          </w:p>
        </w:tc>
        <w:tc>
          <w:tcPr>
            <w:tcW w:w="2473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Zrozumiałość zaleceń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64,09%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9,13%</w:t>
            </w:r>
          </w:p>
        </w:tc>
        <w:tc>
          <w:tcPr>
            <w:tcW w:w="1439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73,22%</w:t>
            </w:r>
          </w:p>
        </w:tc>
        <w:tc>
          <w:tcPr>
            <w:tcW w:w="1116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7,59%</w:t>
            </w:r>
          </w:p>
        </w:tc>
        <w:tc>
          <w:tcPr>
            <w:tcW w:w="1284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19,19%</w:t>
            </w:r>
          </w:p>
        </w:tc>
      </w:tr>
      <w:tr w:rsidR="0080322A" w:rsidTr="00555C52">
        <w:trPr>
          <w:trHeight w:hRule="exact" w:val="567"/>
        </w:trPr>
        <w:tc>
          <w:tcPr>
            <w:tcW w:w="576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E01</w:t>
            </w:r>
          </w:p>
        </w:tc>
        <w:tc>
          <w:tcPr>
            <w:tcW w:w="2473" w:type="dxa"/>
            <w:vAlign w:val="center"/>
          </w:tcPr>
          <w:p w:rsidR="0080322A" w:rsidRPr="00F74933" w:rsidRDefault="003E5C7F" w:rsidP="003E5C7F">
            <w:pPr>
              <w:spacing w:line="276" w:lineRule="auto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Respektowanie P</w:t>
            </w:r>
            <w:r w:rsidR="0080322A"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raw</w:t>
            </w:r>
            <w:r w:rsidR="0080322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P</w:t>
            </w:r>
            <w:r w:rsidR="0080322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acjenta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63,23%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8,72%</w:t>
            </w:r>
          </w:p>
        </w:tc>
        <w:tc>
          <w:tcPr>
            <w:tcW w:w="1439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71,95%</w:t>
            </w:r>
          </w:p>
        </w:tc>
        <w:tc>
          <w:tcPr>
            <w:tcW w:w="1116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7,45%</w:t>
            </w:r>
          </w:p>
        </w:tc>
        <w:tc>
          <w:tcPr>
            <w:tcW w:w="1284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20,61%</w:t>
            </w:r>
          </w:p>
        </w:tc>
      </w:tr>
      <w:tr w:rsidR="0080322A" w:rsidTr="00555C52">
        <w:tc>
          <w:tcPr>
            <w:tcW w:w="576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C01</w:t>
            </w:r>
          </w:p>
        </w:tc>
        <w:tc>
          <w:tcPr>
            <w:tcW w:w="2473" w:type="dxa"/>
            <w:vAlign w:val="center"/>
          </w:tcPr>
          <w:p w:rsidR="0080322A" w:rsidRPr="00F74933" w:rsidRDefault="0080322A" w:rsidP="003E5C7F">
            <w:pPr>
              <w:spacing w:line="276" w:lineRule="auto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Zrozumiałość i</w:t>
            </w: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nfo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rmacji</w:t>
            </w: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o zdrowiu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62,38%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9,44%</w:t>
            </w:r>
          </w:p>
        </w:tc>
        <w:tc>
          <w:tcPr>
            <w:tcW w:w="1439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71,82%</w:t>
            </w:r>
          </w:p>
        </w:tc>
        <w:tc>
          <w:tcPr>
            <w:tcW w:w="1116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6,81%</w:t>
            </w:r>
          </w:p>
        </w:tc>
        <w:tc>
          <w:tcPr>
            <w:tcW w:w="1284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21,36%</w:t>
            </w:r>
          </w:p>
        </w:tc>
      </w:tr>
      <w:tr w:rsidR="0080322A" w:rsidTr="00555C52">
        <w:trPr>
          <w:trHeight w:hRule="exact" w:val="454"/>
        </w:trPr>
        <w:tc>
          <w:tcPr>
            <w:tcW w:w="576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F01</w:t>
            </w:r>
          </w:p>
        </w:tc>
        <w:tc>
          <w:tcPr>
            <w:tcW w:w="2473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Rekomendacja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63,69%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8,12%</w:t>
            </w:r>
          </w:p>
        </w:tc>
        <w:tc>
          <w:tcPr>
            <w:tcW w:w="1439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71,81%</w:t>
            </w:r>
          </w:p>
        </w:tc>
        <w:tc>
          <w:tcPr>
            <w:tcW w:w="1116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4,77%</w:t>
            </w:r>
          </w:p>
        </w:tc>
        <w:tc>
          <w:tcPr>
            <w:tcW w:w="1284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23,41%</w:t>
            </w:r>
          </w:p>
        </w:tc>
      </w:tr>
      <w:tr w:rsidR="0080322A" w:rsidTr="00555C52">
        <w:trPr>
          <w:trHeight w:hRule="exact" w:val="567"/>
        </w:trPr>
        <w:tc>
          <w:tcPr>
            <w:tcW w:w="576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B02</w:t>
            </w:r>
          </w:p>
        </w:tc>
        <w:tc>
          <w:tcPr>
            <w:tcW w:w="2473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Opieka/Zaangażowanie</w:t>
            </w:r>
            <w:r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personelu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62,86%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8,72%</w:t>
            </w:r>
          </w:p>
        </w:tc>
        <w:tc>
          <w:tcPr>
            <w:tcW w:w="1439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71,58%</w:t>
            </w:r>
          </w:p>
        </w:tc>
        <w:tc>
          <w:tcPr>
            <w:tcW w:w="1116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6,16%</w:t>
            </w:r>
          </w:p>
        </w:tc>
        <w:tc>
          <w:tcPr>
            <w:tcW w:w="1284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22,25%</w:t>
            </w:r>
          </w:p>
        </w:tc>
      </w:tr>
      <w:tr w:rsidR="0080322A" w:rsidTr="00555C52">
        <w:trPr>
          <w:trHeight w:hRule="exact" w:val="454"/>
        </w:trPr>
        <w:tc>
          <w:tcPr>
            <w:tcW w:w="576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B03</w:t>
            </w:r>
          </w:p>
        </w:tc>
        <w:tc>
          <w:tcPr>
            <w:tcW w:w="2473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Zmniejszanie bólu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60,83%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10,11%</w:t>
            </w:r>
          </w:p>
        </w:tc>
        <w:tc>
          <w:tcPr>
            <w:tcW w:w="1439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70,94%</w:t>
            </w:r>
          </w:p>
        </w:tc>
        <w:tc>
          <w:tcPr>
            <w:tcW w:w="1116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8,12%</w:t>
            </w:r>
          </w:p>
        </w:tc>
        <w:tc>
          <w:tcPr>
            <w:tcW w:w="1284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20,95%</w:t>
            </w:r>
          </w:p>
        </w:tc>
      </w:tr>
      <w:tr w:rsidR="0080322A" w:rsidTr="00555C52">
        <w:trPr>
          <w:trHeight w:hRule="exact" w:val="454"/>
        </w:trPr>
        <w:tc>
          <w:tcPr>
            <w:tcW w:w="576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B01</w:t>
            </w:r>
          </w:p>
        </w:tc>
        <w:tc>
          <w:tcPr>
            <w:tcW w:w="2473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Uwzględnianie zdania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61,04%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9,82%</w:t>
            </w:r>
          </w:p>
        </w:tc>
        <w:tc>
          <w:tcPr>
            <w:tcW w:w="1439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70,86%</w:t>
            </w:r>
          </w:p>
        </w:tc>
        <w:tc>
          <w:tcPr>
            <w:tcW w:w="1116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6,90%</w:t>
            </w:r>
          </w:p>
        </w:tc>
        <w:tc>
          <w:tcPr>
            <w:tcW w:w="1284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22,24%</w:t>
            </w:r>
          </w:p>
        </w:tc>
      </w:tr>
      <w:tr w:rsidR="0080322A" w:rsidTr="00555C52">
        <w:trPr>
          <w:trHeight w:hRule="exact" w:val="454"/>
        </w:trPr>
        <w:tc>
          <w:tcPr>
            <w:tcW w:w="576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A01</w:t>
            </w:r>
          </w:p>
        </w:tc>
        <w:tc>
          <w:tcPr>
            <w:tcW w:w="2473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Sprawność przyjęcia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53,85%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11,97%</w:t>
            </w:r>
          </w:p>
        </w:tc>
        <w:tc>
          <w:tcPr>
            <w:tcW w:w="1439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65,82%</w:t>
            </w:r>
          </w:p>
        </w:tc>
        <w:tc>
          <w:tcPr>
            <w:tcW w:w="1116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10,11%</w:t>
            </w:r>
          </w:p>
        </w:tc>
        <w:tc>
          <w:tcPr>
            <w:tcW w:w="1284" w:type="dxa"/>
            <w:shd w:val="clear" w:color="auto" w:fill="F2DBDB" w:themeFill="accent2" w:themeFillTint="33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24,07%</w:t>
            </w:r>
          </w:p>
        </w:tc>
      </w:tr>
      <w:tr w:rsidR="0080322A" w:rsidTr="00555C52">
        <w:trPr>
          <w:trHeight w:hRule="exact" w:val="454"/>
        </w:trPr>
        <w:tc>
          <w:tcPr>
            <w:tcW w:w="576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D01</w:t>
            </w:r>
          </w:p>
        </w:tc>
        <w:tc>
          <w:tcPr>
            <w:tcW w:w="2473" w:type="dxa"/>
            <w:vAlign w:val="center"/>
          </w:tcPr>
          <w:p w:rsidR="0080322A" w:rsidRPr="00F74933" w:rsidRDefault="0080322A" w:rsidP="00CD492D">
            <w:pPr>
              <w:spacing w:line="276" w:lineRule="auto"/>
              <w:jc w:val="both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Wyżywienie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48,00%</w:t>
            </w:r>
          </w:p>
        </w:tc>
        <w:tc>
          <w:tcPr>
            <w:tcW w:w="1200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15,53%</w:t>
            </w:r>
          </w:p>
        </w:tc>
        <w:tc>
          <w:tcPr>
            <w:tcW w:w="1439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63,53%</w:t>
            </w:r>
          </w:p>
        </w:tc>
        <w:tc>
          <w:tcPr>
            <w:tcW w:w="1116" w:type="dxa"/>
            <w:shd w:val="clear" w:color="auto" w:fill="DAEEF3" w:themeFill="accent5" w:themeFillTint="33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17,88%</w:t>
            </w:r>
          </w:p>
        </w:tc>
        <w:tc>
          <w:tcPr>
            <w:tcW w:w="1284" w:type="dxa"/>
            <w:vAlign w:val="center"/>
          </w:tcPr>
          <w:p w:rsidR="0080322A" w:rsidRPr="00F74933" w:rsidRDefault="0080322A" w:rsidP="0080322A">
            <w:pPr>
              <w:spacing w:line="276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18,58%</w:t>
            </w:r>
          </w:p>
        </w:tc>
      </w:tr>
    </w:tbl>
    <w:p w:rsidR="0080322A" w:rsidRDefault="0080322A" w:rsidP="0080322A">
      <w:pPr>
        <w:spacing w:after="0"/>
        <w:jc w:val="both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80322A" w:rsidRDefault="0080322A" w:rsidP="0080322A">
      <w:pPr>
        <w:spacing w:after="0"/>
        <w:jc w:val="both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80322A" w:rsidRPr="005E21C1" w:rsidRDefault="0080322A" w:rsidP="005E21C1">
      <w:pPr>
        <w:spacing w:after="120"/>
        <w:jc w:val="both"/>
        <w:rPr>
          <w:rFonts w:ascii="Century Gothic" w:eastAsia="Times New Roman" w:hAnsi="Century Gothic" w:cs="Times New Roman"/>
          <w:b/>
          <w:u w:val="single"/>
          <w:lang w:eastAsia="pl-PL"/>
        </w:rPr>
      </w:pPr>
      <w:r w:rsidRPr="005E21C1">
        <w:rPr>
          <w:rFonts w:ascii="Century Gothic" w:eastAsia="Times New Roman" w:hAnsi="Century Gothic" w:cs="Times New Roman"/>
          <w:b/>
          <w:u w:val="single"/>
          <w:lang w:eastAsia="pl-PL"/>
        </w:rPr>
        <w:lastRenderedPageBreak/>
        <w:t>Kluczowe obserwacje:</w:t>
      </w:r>
    </w:p>
    <w:p w:rsidR="005E21C1" w:rsidRPr="005E21C1" w:rsidRDefault="005E21C1" w:rsidP="005E21C1">
      <w:pPr>
        <w:pStyle w:val="NormalnyWeb"/>
        <w:numPr>
          <w:ilvl w:val="0"/>
          <w:numId w:val="8"/>
        </w:numPr>
        <w:spacing w:before="0" w:beforeAutospacing="0" w:after="60" w:afterAutospacing="0" w:line="276" w:lineRule="auto"/>
        <w:ind w:left="357" w:hanging="357"/>
        <w:jc w:val="both"/>
        <w:rPr>
          <w:rFonts w:ascii="Century Gothic" w:hAnsi="Century Gothic"/>
          <w:sz w:val="21"/>
          <w:szCs w:val="21"/>
        </w:rPr>
      </w:pPr>
      <w:r w:rsidRPr="005E21C1">
        <w:rPr>
          <w:rFonts w:ascii="Century Gothic" w:hAnsi="Century Gothic"/>
          <w:b/>
          <w:bCs/>
          <w:sz w:val="21"/>
          <w:szCs w:val="21"/>
        </w:rPr>
        <w:t>Dominacja wysokich ocen pozytywnych:</w:t>
      </w:r>
      <w:r w:rsidRPr="005E21C1">
        <w:rPr>
          <w:rFonts w:ascii="Century Gothic" w:hAnsi="Century Gothic"/>
          <w:sz w:val="21"/>
          <w:szCs w:val="21"/>
        </w:rPr>
        <w:t xml:space="preserve"> </w:t>
      </w:r>
      <w:r w:rsidRPr="005E21C1">
        <w:rPr>
          <w:rStyle w:val="citation-527"/>
          <w:rFonts w:ascii="Century Gothic" w:hAnsi="Century Gothic"/>
          <w:sz w:val="21"/>
          <w:szCs w:val="21"/>
        </w:rPr>
        <w:t>We wszystkich dziesięciu badanych obszarach odsetek ocen dobrych i bardzo dobrych (9–10) przekroczył poziom 63%</w:t>
      </w:r>
      <w:r w:rsidRPr="005E21C1">
        <w:rPr>
          <w:rFonts w:ascii="Century Gothic" w:hAnsi="Century Gothic"/>
          <w:sz w:val="21"/>
          <w:szCs w:val="21"/>
        </w:rPr>
        <w:t xml:space="preserve">. </w:t>
      </w:r>
      <w:r>
        <w:rPr>
          <w:rFonts w:ascii="Century Gothic" w:hAnsi="Century Gothic"/>
          <w:sz w:val="21"/>
          <w:szCs w:val="21"/>
        </w:rPr>
        <w:br/>
      </w:r>
      <w:r w:rsidRPr="005E21C1">
        <w:rPr>
          <w:rStyle w:val="citation-526"/>
          <w:rFonts w:ascii="Century Gothic" w:hAnsi="Century Gothic"/>
          <w:sz w:val="21"/>
          <w:szCs w:val="21"/>
        </w:rPr>
        <w:t>W siedmiu kategoriach wskaźnik ten utrzymuje się na stabilnym, wysokim poziomie powyżej 70%</w:t>
      </w:r>
      <w:r w:rsidRPr="005E21C1">
        <w:rPr>
          <w:rFonts w:ascii="Century Gothic" w:hAnsi="Century Gothic"/>
          <w:sz w:val="21"/>
          <w:szCs w:val="21"/>
        </w:rPr>
        <w:t xml:space="preserve">. </w:t>
      </w:r>
      <w:r w:rsidRPr="005E21C1">
        <w:rPr>
          <w:rStyle w:val="citation-525"/>
          <w:rFonts w:ascii="Century Gothic" w:hAnsi="Century Gothic"/>
          <w:sz w:val="21"/>
          <w:szCs w:val="21"/>
        </w:rPr>
        <w:t>Świadczy to o silnym, ugruntowanym standardzie opieki medycznej, który jest doceniany przez zdecydowaną większość pacjentów placówki</w:t>
      </w:r>
      <w:r w:rsidRPr="005E21C1">
        <w:rPr>
          <w:rFonts w:ascii="Century Gothic" w:hAnsi="Century Gothic"/>
          <w:sz w:val="21"/>
          <w:szCs w:val="21"/>
        </w:rPr>
        <w:t>.</w:t>
      </w:r>
    </w:p>
    <w:p w:rsidR="005E21C1" w:rsidRPr="005E21C1" w:rsidRDefault="005E21C1" w:rsidP="005E21C1">
      <w:pPr>
        <w:pStyle w:val="NormalnyWeb"/>
        <w:numPr>
          <w:ilvl w:val="0"/>
          <w:numId w:val="8"/>
        </w:numPr>
        <w:spacing w:before="0" w:beforeAutospacing="0" w:after="60" w:afterAutospacing="0" w:line="276" w:lineRule="auto"/>
        <w:ind w:left="357" w:hanging="357"/>
        <w:jc w:val="both"/>
        <w:rPr>
          <w:rFonts w:ascii="Century Gothic" w:hAnsi="Century Gothic"/>
          <w:sz w:val="21"/>
          <w:szCs w:val="21"/>
        </w:rPr>
      </w:pPr>
      <w:r w:rsidRPr="005E21C1">
        <w:rPr>
          <w:rFonts w:ascii="Century Gothic" w:hAnsi="Century Gothic"/>
          <w:b/>
          <w:bCs/>
          <w:sz w:val="21"/>
          <w:szCs w:val="21"/>
        </w:rPr>
        <w:t>Czystość jako niezmienny filar jakości (D02):</w:t>
      </w:r>
      <w:r w:rsidRPr="005E21C1">
        <w:rPr>
          <w:rFonts w:ascii="Century Gothic" w:hAnsi="Century Gothic"/>
          <w:sz w:val="21"/>
          <w:szCs w:val="21"/>
        </w:rPr>
        <w:t xml:space="preserve"> </w:t>
      </w:r>
      <w:r w:rsidRPr="005E21C1">
        <w:rPr>
          <w:rStyle w:val="citation-524"/>
          <w:rFonts w:ascii="Century Gothic" w:hAnsi="Century Gothic"/>
          <w:sz w:val="21"/>
          <w:szCs w:val="21"/>
        </w:rPr>
        <w:t>Obszar czystości sal, korytarzy</w:t>
      </w:r>
      <w:r w:rsidRPr="005E21C1">
        <w:rPr>
          <w:rStyle w:val="citation-524"/>
          <w:rFonts w:ascii="Century Gothic" w:hAnsi="Century Gothic"/>
          <w:sz w:val="21"/>
          <w:szCs w:val="21"/>
        </w:rPr>
        <w:br/>
        <w:t>i łazienek pozostaje bezsprzecznym liderem zestawienia, osiągając 76,66% ocen pozytywnych</w:t>
      </w:r>
      <w:r w:rsidRPr="005E21C1">
        <w:rPr>
          <w:rFonts w:ascii="Century Gothic" w:hAnsi="Century Gothic"/>
          <w:sz w:val="21"/>
          <w:szCs w:val="21"/>
        </w:rPr>
        <w:t xml:space="preserve">. </w:t>
      </w:r>
      <w:r w:rsidRPr="005E21C1">
        <w:rPr>
          <w:rStyle w:val="citation-523"/>
          <w:rFonts w:ascii="Century Gothic" w:hAnsi="Century Gothic"/>
          <w:sz w:val="21"/>
          <w:szCs w:val="21"/>
        </w:rPr>
        <w:t>Jest to jedyna kategoria, w której odsetek opinii negatywnych jest tak niski (12,77%)</w:t>
      </w:r>
      <w:r w:rsidRPr="005E21C1">
        <w:rPr>
          <w:rFonts w:ascii="Century Gothic" w:hAnsi="Century Gothic"/>
          <w:sz w:val="21"/>
          <w:szCs w:val="21"/>
        </w:rPr>
        <w:t xml:space="preserve">. </w:t>
      </w:r>
      <w:r w:rsidRPr="005E21C1">
        <w:rPr>
          <w:rStyle w:val="citation-522"/>
          <w:rFonts w:ascii="Century Gothic" w:hAnsi="Century Gothic"/>
          <w:sz w:val="21"/>
          <w:szCs w:val="21"/>
        </w:rPr>
        <w:t>W porównaniu do roku 2024, kiedy wskaźnik ten wynosił 75,43%, nastąpił dalszy wzrost satysfakcji, co potwierdza skuteczność nadzoru nad służbami utrzymania czystości</w:t>
      </w:r>
      <w:r w:rsidRPr="005E21C1">
        <w:rPr>
          <w:rFonts w:ascii="Century Gothic" w:hAnsi="Century Gothic"/>
          <w:sz w:val="21"/>
          <w:szCs w:val="21"/>
        </w:rPr>
        <w:t>.</w:t>
      </w:r>
    </w:p>
    <w:p w:rsidR="005E21C1" w:rsidRPr="005E21C1" w:rsidRDefault="005E21C1" w:rsidP="005E21C1">
      <w:pPr>
        <w:pStyle w:val="NormalnyWeb"/>
        <w:numPr>
          <w:ilvl w:val="0"/>
          <w:numId w:val="8"/>
        </w:numPr>
        <w:spacing w:before="0" w:beforeAutospacing="0" w:after="60" w:afterAutospacing="0" w:line="276" w:lineRule="auto"/>
        <w:ind w:left="357" w:hanging="357"/>
        <w:jc w:val="both"/>
        <w:rPr>
          <w:rFonts w:ascii="Century Gothic" w:hAnsi="Century Gothic"/>
          <w:sz w:val="21"/>
          <w:szCs w:val="21"/>
        </w:rPr>
      </w:pPr>
      <w:r w:rsidRPr="005E21C1">
        <w:rPr>
          <w:rFonts w:ascii="Century Gothic" w:hAnsi="Century Gothic"/>
          <w:b/>
          <w:bCs/>
          <w:sz w:val="21"/>
          <w:szCs w:val="21"/>
        </w:rPr>
        <w:t>Przełom w obszarze wyżywienia (D01):</w:t>
      </w:r>
      <w:r w:rsidRPr="005E21C1">
        <w:rPr>
          <w:rFonts w:ascii="Century Gothic" w:hAnsi="Century Gothic"/>
          <w:sz w:val="21"/>
          <w:szCs w:val="21"/>
        </w:rPr>
        <w:t xml:space="preserve"> Zauważalny jest sukces działań naprawczych w obszarze żywienia. </w:t>
      </w:r>
      <w:r w:rsidRPr="005E21C1">
        <w:rPr>
          <w:rStyle w:val="citation-521"/>
          <w:rFonts w:ascii="Century Gothic" w:hAnsi="Century Gothic"/>
          <w:sz w:val="21"/>
          <w:szCs w:val="21"/>
        </w:rPr>
        <w:t>Wyżywienie przestało być obszarem generującym największy opór pacjentów – odsetek ocen negatywnych spadł</w:t>
      </w:r>
      <w:r>
        <w:rPr>
          <w:rStyle w:val="citation-521"/>
          <w:rFonts w:ascii="Century Gothic" w:hAnsi="Century Gothic"/>
          <w:sz w:val="21"/>
          <w:szCs w:val="21"/>
        </w:rPr>
        <w:t xml:space="preserve"> </w:t>
      </w:r>
      <w:r w:rsidRPr="005E21C1">
        <w:rPr>
          <w:rStyle w:val="citation-521"/>
          <w:rFonts w:ascii="Century Gothic" w:hAnsi="Century Gothic"/>
          <w:sz w:val="21"/>
          <w:szCs w:val="21"/>
        </w:rPr>
        <w:t>z 21,07% w 2024 roku do 18,58% w 2025 roku</w:t>
      </w:r>
      <w:r w:rsidRPr="005E21C1">
        <w:rPr>
          <w:rFonts w:ascii="Century Gothic" w:hAnsi="Century Gothic"/>
          <w:sz w:val="21"/>
          <w:szCs w:val="21"/>
        </w:rPr>
        <w:t xml:space="preserve">. </w:t>
      </w:r>
      <w:r w:rsidRPr="005E21C1">
        <w:rPr>
          <w:rStyle w:val="citation-520"/>
          <w:rFonts w:ascii="Century Gothic" w:hAnsi="Century Gothic"/>
          <w:sz w:val="21"/>
          <w:szCs w:val="21"/>
        </w:rPr>
        <w:t>Choć suma ocen pozytywnych (63,53%) jest najniższa w zestawieniu, to pod względem „braku krytyki” wyżywienie ocenia się obecnie lepiej niż procesy przyjęcia, relacje z personelem czy zrozumienie informacji o zdrowiu</w:t>
      </w:r>
      <w:r w:rsidRPr="005E21C1">
        <w:rPr>
          <w:rFonts w:ascii="Century Gothic" w:hAnsi="Century Gothic"/>
          <w:sz w:val="21"/>
          <w:szCs w:val="21"/>
        </w:rPr>
        <w:t>.</w:t>
      </w:r>
    </w:p>
    <w:p w:rsidR="005E21C1" w:rsidRPr="005E21C1" w:rsidRDefault="005E21C1" w:rsidP="005E21C1">
      <w:pPr>
        <w:pStyle w:val="NormalnyWeb"/>
        <w:numPr>
          <w:ilvl w:val="0"/>
          <w:numId w:val="8"/>
        </w:numPr>
        <w:spacing w:before="0" w:beforeAutospacing="0" w:after="60" w:afterAutospacing="0" w:line="276" w:lineRule="auto"/>
        <w:ind w:left="357" w:hanging="357"/>
        <w:jc w:val="both"/>
        <w:rPr>
          <w:rFonts w:ascii="Century Gothic" w:hAnsi="Century Gothic"/>
          <w:sz w:val="21"/>
          <w:szCs w:val="21"/>
        </w:rPr>
      </w:pPr>
      <w:r w:rsidRPr="005E21C1">
        <w:rPr>
          <w:rFonts w:ascii="Century Gothic" w:hAnsi="Century Gothic"/>
          <w:b/>
          <w:bCs/>
          <w:sz w:val="21"/>
          <w:szCs w:val="21"/>
        </w:rPr>
        <w:t>Krytyczne „wąskie gardło” – Proces przyjęcia (A01):</w:t>
      </w:r>
      <w:r w:rsidR="00E165ED">
        <w:rPr>
          <w:rFonts w:ascii="Century Gothic" w:hAnsi="Century Gothic"/>
          <w:sz w:val="21"/>
          <w:szCs w:val="21"/>
        </w:rPr>
        <w:t xml:space="preserve"> Sprawność przyjęcia do S</w:t>
      </w:r>
      <w:r w:rsidRPr="005E21C1">
        <w:rPr>
          <w:rFonts w:ascii="Century Gothic" w:hAnsi="Century Gothic"/>
          <w:sz w:val="21"/>
          <w:szCs w:val="21"/>
        </w:rPr>
        <w:t xml:space="preserve">zpitala stała się w 2025 roku największym wyzwaniem organizacyjnym. </w:t>
      </w:r>
      <w:r w:rsidRPr="005E21C1">
        <w:rPr>
          <w:rStyle w:val="citation-519"/>
          <w:rFonts w:ascii="Century Gothic" w:hAnsi="Century Gothic"/>
          <w:sz w:val="21"/>
          <w:szCs w:val="21"/>
        </w:rPr>
        <w:t>Odnotowano tu najwyższy w całym badaniu odsetek ocen negatywnych (24,07%) oraz najniższy odsetek ocen „bardzo dobrych” (53,85%)</w:t>
      </w:r>
      <w:r w:rsidRPr="005E21C1">
        <w:rPr>
          <w:rFonts w:ascii="Century Gothic" w:hAnsi="Century Gothic"/>
          <w:sz w:val="21"/>
          <w:szCs w:val="21"/>
        </w:rPr>
        <w:t xml:space="preserve">. </w:t>
      </w:r>
      <w:r w:rsidRPr="005E21C1">
        <w:rPr>
          <w:rStyle w:val="citation-518"/>
          <w:rFonts w:ascii="Century Gothic" w:hAnsi="Century Gothic"/>
          <w:sz w:val="21"/>
          <w:szCs w:val="21"/>
        </w:rPr>
        <w:t>Tak wysoki poziom krytyki na samym początku kontaktu z placówką buduje negatywne nastawienie, które rzutuje na późniejszą ocenę hospitalizacji</w:t>
      </w:r>
      <w:r w:rsidRPr="005E21C1">
        <w:rPr>
          <w:rFonts w:ascii="Century Gothic" w:hAnsi="Century Gothic"/>
          <w:sz w:val="21"/>
          <w:szCs w:val="21"/>
        </w:rPr>
        <w:t>.</w:t>
      </w:r>
    </w:p>
    <w:p w:rsidR="005E21C1" w:rsidRPr="005E21C1" w:rsidRDefault="005E21C1" w:rsidP="005E21C1">
      <w:pPr>
        <w:pStyle w:val="NormalnyWeb"/>
        <w:numPr>
          <w:ilvl w:val="0"/>
          <w:numId w:val="8"/>
        </w:numPr>
        <w:spacing w:before="0" w:beforeAutospacing="0" w:after="60" w:afterAutospacing="0" w:line="276" w:lineRule="auto"/>
        <w:ind w:left="357" w:hanging="357"/>
        <w:jc w:val="both"/>
        <w:rPr>
          <w:rFonts w:ascii="Century Gothic" w:hAnsi="Century Gothic"/>
          <w:sz w:val="21"/>
          <w:szCs w:val="21"/>
        </w:rPr>
      </w:pPr>
      <w:r w:rsidRPr="005E21C1">
        <w:rPr>
          <w:rFonts w:ascii="Century Gothic" w:hAnsi="Century Gothic"/>
          <w:b/>
          <w:bCs/>
          <w:sz w:val="21"/>
          <w:szCs w:val="21"/>
        </w:rPr>
        <w:t>Systemowa luka w relacjach i komunikacji (B01, B02, C01, E01):</w:t>
      </w:r>
      <w:r w:rsidRPr="005E21C1">
        <w:rPr>
          <w:rFonts w:ascii="Century Gothic" w:hAnsi="Century Gothic"/>
          <w:sz w:val="21"/>
          <w:szCs w:val="21"/>
        </w:rPr>
        <w:t xml:space="preserve"> </w:t>
      </w:r>
      <w:r w:rsidRPr="005E21C1">
        <w:rPr>
          <w:rStyle w:val="citation-517"/>
          <w:rFonts w:ascii="Century Gothic" w:hAnsi="Century Gothic"/>
          <w:sz w:val="21"/>
          <w:szCs w:val="21"/>
        </w:rPr>
        <w:t>Wszystkie obszary dotyczące bezpośredniej interakcji z personelem medycznym (uwzględnianie zdania pacjenta, zaangażowanie, zrozumiałość informacji oraz respektowanie praw pacjenta) wykazują zbliżony, niepokojący po</w:t>
      </w:r>
      <w:r>
        <w:rPr>
          <w:rStyle w:val="citation-517"/>
          <w:rFonts w:ascii="Century Gothic" w:hAnsi="Century Gothic"/>
          <w:sz w:val="21"/>
          <w:szCs w:val="21"/>
        </w:rPr>
        <w:t>ziom niezadowolenia w granicach</w:t>
      </w:r>
      <w:r>
        <w:rPr>
          <w:rStyle w:val="citation-517"/>
          <w:rFonts w:ascii="Century Gothic" w:hAnsi="Century Gothic"/>
          <w:sz w:val="21"/>
          <w:szCs w:val="21"/>
        </w:rPr>
        <w:br/>
      </w:r>
      <w:r w:rsidRPr="005E21C1">
        <w:rPr>
          <w:rStyle w:val="citation-517"/>
          <w:rFonts w:ascii="Century Gothic" w:hAnsi="Century Gothic"/>
          <w:sz w:val="21"/>
          <w:szCs w:val="21"/>
        </w:rPr>
        <w:t>20–22%</w:t>
      </w:r>
      <w:r w:rsidRPr="005E21C1">
        <w:rPr>
          <w:rFonts w:ascii="Century Gothic" w:hAnsi="Century Gothic"/>
          <w:sz w:val="21"/>
          <w:szCs w:val="21"/>
        </w:rPr>
        <w:t xml:space="preserve">. </w:t>
      </w:r>
      <w:r w:rsidRPr="005E21C1">
        <w:rPr>
          <w:rStyle w:val="citation-516"/>
          <w:rFonts w:ascii="Century Gothic" w:hAnsi="Century Gothic"/>
          <w:sz w:val="21"/>
          <w:szCs w:val="21"/>
        </w:rPr>
        <w:t>Oznacza to, że co piąty pacjent czuje się niedoinformowany lub uprzedmiotowiony</w:t>
      </w:r>
      <w:r w:rsidRPr="005E21C1">
        <w:rPr>
          <w:rFonts w:ascii="Century Gothic" w:hAnsi="Century Gothic"/>
          <w:sz w:val="21"/>
          <w:szCs w:val="21"/>
        </w:rPr>
        <w:t xml:space="preserve">. </w:t>
      </w:r>
      <w:r w:rsidRPr="005E21C1">
        <w:rPr>
          <w:rStyle w:val="citation-515"/>
          <w:rFonts w:ascii="Century Gothic" w:hAnsi="Century Gothic"/>
          <w:sz w:val="21"/>
          <w:szCs w:val="21"/>
        </w:rPr>
        <w:t>W 2024 roku problem ten dotyczył głównie uwzględniania zdania pacjenta (B01 – 19,74%), co sugeruje, że w 2025 roku deficyt relacyjny uległ rozszerzeniu na inne aspekty komunikacji</w:t>
      </w:r>
      <w:r w:rsidRPr="005E21C1">
        <w:rPr>
          <w:rFonts w:ascii="Century Gothic" w:hAnsi="Century Gothic"/>
          <w:sz w:val="21"/>
          <w:szCs w:val="21"/>
        </w:rPr>
        <w:t>.</w:t>
      </w:r>
    </w:p>
    <w:p w:rsidR="005E21C1" w:rsidRPr="005E21C1" w:rsidRDefault="005E21C1" w:rsidP="005E21C1">
      <w:pPr>
        <w:pStyle w:val="NormalnyWeb"/>
        <w:numPr>
          <w:ilvl w:val="0"/>
          <w:numId w:val="8"/>
        </w:numPr>
        <w:spacing w:before="0" w:beforeAutospacing="0" w:after="60" w:afterAutospacing="0" w:line="276" w:lineRule="auto"/>
        <w:ind w:left="357" w:hanging="357"/>
        <w:jc w:val="both"/>
        <w:rPr>
          <w:rFonts w:ascii="Century Gothic" w:hAnsi="Century Gothic"/>
          <w:sz w:val="21"/>
          <w:szCs w:val="21"/>
        </w:rPr>
      </w:pPr>
      <w:r w:rsidRPr="005E21C1">
        <w:rPr>
          <w:rFonts w:ascii="Century Gothic" w:hAnsi="Century Gothic"/>
          <w:b/>
          <w:bCs/>
          <w:sz w:val="21"/>
          <w:szCs w:val="21"/>
        </w:rPr>
        <w:t>Paradoks rekomendacji (F01):</w:t>
      </w:r>
      <w:r w:rsidRPr="005E21C1">
        <w:rPr>
          <w:rFonts w:ascii="Century Gothic" w:hAnsi="Century Gothic"/>
          <w:sz w:val="21"/>
          <w:szCs w:val="21"/>
        </w:rPr>
        <w:t xml:space="preserve"> </w:t>
      </w:r>
      <w:r w:rsidRPr="005E21C1">
        <w:rPr>
          <w:rStyle w:val="citation-514"/>
          <w:rFonts w:ascii="Century Gothic" w:hAnsi="Century Gothic"/>
          <w:sz w:val="21"/>
          <w:szCs w:val="21"/>
        </w:rPr>
        <w:t>Mimo wysokiej ogólnej satysfakcji medycznej, wskaźnik rekomendacji (71,81% ocen pozytywnych) jest obciążony wysokim odsetkiem ocen skrajnie negatywnych (23,41%)</w:t>
      </w:r>
      <w:r w:rsidRPr="005E21C1">
        <w:rPr>
          <w:rFonts w:ascii="Century Gothic" w:hAnsi="Century Gothic"/>
          <w:sz w:val="21"/>
          <w:szCs w:val="21"/>
        </w:rPr>
        <w:t xml:space="preserve">. </w:t>
      </w:r>
      <w:r w:rsidRPr="005E21C1">
        <w:rPr>
          <w:rStyle w:val="citation-513"/>
          <w:rFonts w:ascii="Century Gothic" w:hAnsi="Century Gothic"/>
          <w:sz w:val="21"/>
          <w:szCs w:val="21"/>
        </w:rPr>
        <w:t>Duża grupa pacjentów, mimo docenienia np. czystości czy zaleceń przy wypisie, z powodu negatywnych doświadczeń w obszarze przyjęć i relacji, staje się aktywnymi krytykami szpitala („zdecydowanie nie polecam” – 11,94%)</w:t>
      </w:r>
      <w:r w:rsidRPr="005E21C1">
        <w:rPr>
          <w:rFonts w:ascii="Century Gothic" w:hAnsi="Century Gothic"/>
          <w:sz w:val="21"/>
          <w:szCs w:val="21"/>
        </w:rPr>
        <w:t>.</w:t>
      </w:r>
    </w:p>
    <w:p w:rsidR="005E21C1" w:rsidRPr="005E21C1" w:rsidRDefault="005E21C1" w:rsidP="005E21C1">
      <w:pPr>
        <w:pStyle w:val="NormalnyWeb"/>
        <w:numPr>
          <w:ilvl w:val="0"/>
          <w:numId w:val="8"/>
        </w:numPr>
        <w:spacing w:before="0" w:beforeAutospacing="0" w:after="0" w:afterAutospacing="0" w:line="276" w:lineRule="auto"/>
        <w:ind w:left="357" w:hanging="357"/>
        <w:jc w:val="both"/>
        <w:rPr>
          <w:rFonts w:ascii="Century Gothic" w:hAnsi="Century Gothic"/>
          <w:sz w:val="21"/>
          <w:szCs w:val="21"/>
        </w:rPr>
      </w:pPr>
      <w:r w:rsidRPr="005E21C1">
        <w:rPr>
          <w:rFonts w:ascii="Century Gothic" w:hAnsi="Century Gothic"/>
          <w:b/>
          <w:bCs/>
          <w:sz w:val="21"/>
          <w:szCs w:val="21"/>
        </w:rPr>
        <w:t>Sukces komunikacji końcowej (C02):</w:t>
      </w:r>
      <w:r w:rsidRPr="005E21C1">
        <w:rPr>
          <w:rFonts w:ascii="Century Gothic" w:hAnsi="Century Gothic"/>
          <w:sz w:val="21"/>
          <w:szCs w:val="21"/>
        </w:rPr>
        <w:t xml:space="preserve"> Mocną stroną szpitala jest proces wypisowy. </w:t>
      </w:r>
      <w:r w:rsidRPr="005E21C1">
        <w:rPr>
          <w:rStyle w:val="citation-512"/>
          <w:rFonts w:ascii="Century Gothic" w:hAnsi="Century Gothic"/>
          <w:sz w:val="21"/>
          <w:szCs w:val="21"/>
        </w:rPr>
        <w:t>Zrozumiałość zaleceń lekarskich i dalszego leczenia (73,22% ocen pozytywnych) jest drugim najlepiej ocenianym obszarem po czystości</w:t>
      </w:r>
      <w:r w:rsidRPr="005E21C1">
        <w:rPr>
          <w:rFonts w:ascii="Century Gothic" w:hAnsi="Century Gothic"/>
          <w:sz w:val="21"/>
          <w:szCs w:val="21"/>
        </w:rPr>
        <w:t xml:space="preserve">. </w:t>
      </w:r>
      <w:r w:rsidRPr="005E21C1">
        <w:rPr>
          <w:rStyle w:val="citation-511"/>
          <w:rFonts w:ascii="Century Gothic" w:hAnsi="Century Gothic"/>
          <w:sz w:val="21"/>
          <w:szCs w:val="21"/>
        </w:rPr>
        <w:t>Pacjenci czują się znacznie lepiej poinformowani w momencie opuszczania szpitala niż w trakcie samego procesu leczenia (C01 – 71,82%)</w:t>
      </w:r>
      <w:r w:rsidRPr="005E21C1">
        <w:rPr>
          <w:rFonts w:ascii="Century Gothic" w:hAnsi="Century Gothic"/>
          <w:sz w:val="21"/>
          <w:szCs w:val="21"/>
        </w:rPr>
        <w:t>.</w:t>
      </w:r>
    </w:p>
    <w:p w:rsidR="0080322A" w:rsidRPr="00CF6CE9" w:rsidRDefault="0080322A" w:rsidP="0080322A">
      <w:pPr>
        <w:spacing w:after="0"/>
        <w:jc w:val="both"/>
        <w:outlineLvl w:val="2"/>
        <w:rPr>
          <w:rFonts w:ascii="Century Gothic" w:eastAsia="Times New Roman" w:hAnsi="Century Gothic" w:cs="Times New Roman"/>
          <w:b/>
          <w:bCs/>
          <w:sz w:val="24"/>
          <w:szCs w:val="24"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sz w:val="24"/>
          <w:szCs w:val="24"/>
          <w:lang w:eastAsia="pl-PL"/>
        </w:rPr>
        <w:lastRenderedPageBreak/>
        <w:t>II. ANALIZA POSZCZEGÓLNYCH PYTAŃ ANKIETY</w:t>
      </w:r>
    </w:p>
    <w:p w:rsidR="0080322A" w:rsidRPr="00B954AA" w:rsidRDefault="0080322A" w:rsidP="00B954AA">
      <w:pPr>
        <w:spacing w:before="120"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lang w:eastAsia="pl-PL"/>
        </w:rPr>
        <w:t>A01. Jak oceniasz sprawność procesu przyjęcia do szpitala?</w:t>
      </w:r>
    </w:p>
    <w:tbl>
      <w:tblPr>
        <w:tblW w:w="9372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42"/>
        <w:gridCol w:w="4581"/>
      </w:tblGrid>
      <w:tr w:rsidR="00B954AA" w:rsidRPr="00D53DAF" w:rsidTr="00555C52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B954AA" w:rsidRPr="008E436F" w:rsidRDefault="00B954AA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8E436F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12" w:type="dxa"/>
            <w:shd w:val="clear" w:color="auto" w:fill="F2F2F2" w:themeFill="background1" w:themeFillShade="F2"/>
            <w:vAlign w:val="center"/>
            <w:hideMark/>
          </w:tcPr>
          <w:p w:rsidR="00B954AA" w:rsidRPr="008E436F" w:rsidRDefault="00B954AA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8E436F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B954AA" w:rsidRPr="008E436F" w:rsidRDefault="00B954AA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8E436F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B954AA" w:rsidRPr="00D53DAF" w:rsidTr="00555C52">
        <w:trPr>
          <w:trHeight w:hRule="exact" w:val="1155"/>
          <w:tblCellSpacing w:w="15" w:type="dxa"/>
          <w:jc w:val="center"/>
        </w:trPr>
        <w:tc>
          <w:tcPr>
            <w:tcW w:w="2704" w:type="dxa"/>
            <w:shd w:val="clear" w:color="auto" w:fill="auto"/>
            <w:vAlign w:val="center"/>
            <w:hideMark/>
          </w:tcPr>
          <w:p w:rsidR="00B954AA" w:rsidRPr="00CE320B" w:rsidRDefault="00B954AA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12" w:type="dxa"/>
            <w:shd w:val="clear" w:color="auto" w:fill="auto"/>
            <w:vAlign w:val="center"/>
            <w:hideMark/>
          </w:tcPr>
          <w:p w:rsidR="00B954AA" w:rsidRPr="00B954AA" w:rsidRDefault="00B954AA" w:rsidP="00B954AA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65,82%</w:t>
            </w:r>
          </w:p>
          <w:p w:rsidR="00B954AA" w:rsidRPr="00F74933" w:rsidRDefault="00B954AA" w:rsidP="00B954AA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(462 przypadki)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CD492D" w:rsidRPr="00F74933" w:rsidRDefault="003A73C5" w:rsidP="00B954AA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3A73C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53,85% pacjentów (ocena 10) oraz 11,97% (ocena 9) to grupa w pełni usatysfakcjonowana sprawnością logistyczną na „starcie” pobytu.</w:t>
            </w:r>
          </w:p>
        </w:tc>
      </w:tr>
      <w:tr w:rsidR="00B954AA" w:rsidRPr="00D53DAF" w:rsidTr="00555C52">
        <w:trPr>
          <w:trHeight w:hRule="exact" w:val="1101"/>
          <w:tblCellSpacing w:w="15" w:type="dxa"/>
          <w:jc w:val="center"/>
        </w:trPr>
        <w:tc>
          <w:tcPr>
            <w:tcW w:w="2704" w:type="dxa"/>
            <w:shd w:val="clear" w:color="auto" w:fill="auto"/>
            <w:vAlign w:val="center"/>
            <w:hideMark/>
          </w:tcPr>
          <w:p w:rsidR="00B954AA" w:rsidRPr="00CE320B" w:rsidRDefault="00B954AA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12" w:type="dxa"/>
            <w:shd w:val="clear" w:color="auto" w:fill="auto"/>
            <w:vAlign w:val="center"/>
            <w:hideMark/>
          </w:tcPr>
          <w:p w:rsidR="00B954AA" w:rsidRPr="00B954AA" w:rsidRDefault="00B954AA" w:rsidP="00B954AA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10,11%</w:t>
            </w:r>
          </w:p>
          <w:p w:rsidR="00B954AA" w:rsidRPr="00F74933" w:rsidRDefault="00B954AA" w:rsidP="00B954AA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(71 przypadków)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CD492D" w:rsidRPr="00F74933" w:rsidRDefault="003A73C5" w:rsidP="00B954AA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3A73C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Grupa pacjentów, którzy nie odczuli istotnych problemów, ale proces nie wywarł na nich pozytywnego wrażenia (potencjał do poprawy).</w:t>
            </w:r>
          </w:p>
        </w:tc>
      </w:tr>
      <w:tr w:rsidR="00B954AA" w:rsidRPr="00D53DAF" w:rsidTr="00555C52">
        <w:trPr>
          <w:trHeight w:hRule="exact" w:val="889"/>
          <w:tblCellSpacing w:w="15" w:type="dxa"/>
          <w:jc w:val="center"/>
        </w:trPr>
        <w:tc>
          <w:tcPr>
            <w:tcW w:w="2704" w:type="dxa"/>
            <w:shd w:val="clear" w:color="auto" w:fill="auto"/>
            <w:vAlign w:val="center"/>
            <w:hideMark/>
          </w:tcPr>
          <w:p w:rsidR="00B954AA" w:rsidRPr="00CE320B" w:rsidRDefault="00B954AA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12" w:type="dxa"/>
            <w:shd w:val="clear" w:color="auto" w:fill="auto"/>
            <w:vAlign w:val="center"/>
            <w:hideMark/>
          </w:tcPr>
          <w:p w:rsidR="00B954AA" w:rsidRPr="00B954AA" w:rsidRDefault="00B954AA" w:rsidP="00B954AA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24,07%</w:t>
            </w:r>
          </w:p>
          <w:p w:rsidR="00B954AA" w:rsidRPr="00F74933" w:rsidRDefault="00B954AA" w:rsidP="00B954AA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(169 przypadków)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3A73C5" w:rsidRPr="003A73C5" w:rsidRDefault="003A73C5" w:rsidP="003A73C5">
            <w:pPr>
              <w:spacing w:after="415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3A73C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Prawie co czwarty pacjent ocenia proces przyjęcia negatywnie, z czego aż 8,26% wystawiło najniższą możliwą notę (0).</w:t>
            </w:r>
          </w:p>
          <w:p w:rsidR="00CD492D" w:rsidRPr="00F74933" w:rsidRDefault="00CD492D" w:rsidP="00B954AA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</w:p>
        </w:tc>
      </w:tr>
    </w:tbl>
    <w:p w:rsidR="00B954AA" w:rsidRDefault="00B954AA" w:rsidP="00B954AA">
      <w:pPr>
        <w:spacing w:after="0"/>
        <w:jc w:val="both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B954AA" w:rsidRDefault="004D2F76" w:rsidP="004D2F76">
      <w:pPr>
        <w:spacing w:after="0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4D2F76"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  <w:drawing>
          <wp:inline distT="0" distB="0" distL="0" distR="0">
            <wp:extent cx="4327954" cy="2520000"/>
            <wp:effectExtent l="19050" t="0" r="15446" b="0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47874" w:rsidRDefault="0080322A" w:rsidP="004D2F76">
      <w:pPr>
        <w:spacing w:before="240" w:after="0"/>
        <w:jc w:val="both"/>
        <w:rPr>
          <w:rFonts w:ascii="Century Gothic" w:eastAsia="Times New Roman" w:hAnsi="Century Gothic" w:cs="Times New Roman"/>
          <w:lang w:eastAsia="pl-PL"/>
        </w:rPr>
      </w:pPr>
      <w:r w:rsidRPr="00B954AA">
        <w:rPr>
          <w:rFonts w:ascii="Century Gothic" w:eastAsia="Times New Roman" w:hAnsi="Century Gothic" w:cs="Times New Roman"/>
          <w:b/>
          <w:lang w:eastAsia="pl-PL"/>
        </w:rPr>
        <w:t>Wniosek</w:t>
      </w:r>
      <w:r w:rsidRPr="00B954AA">
        <w:rPr>
          <w:rFonts w:ascii="Century Gothic" w:eastAsia="Times New Roman" w:hAnsi="Century Gothic" w:cs="Times New Roman"/>
          <w:lang w:eastAsia="pl-PL"/>
        </w:rPr>
        <w:t xml:space="preserve">: </w:t>
      </w:r>
      <w:r w:rsidR="003A73C5" w:rsidRPr="003A73C5">
        <w:rPr>
          <w:rStyle w:val="citation-376"/>
          <w:rFonts w:ascii="Century Gothic" w:hAnsi="Century Gothic"/>
        </w:rPr>
        <w:t>Proces przyjęcia jest obszarem generującym największy opór i krytykę na wstępie hospitalizacji</w:t>
      </w:r>
      <w:r w:rsidR="003A73C5" w:rsidRPr="003A73C5">
        <w:rPr>
          <w:rFonts w:ascii="Century Gothic" w:hAnsi="Century Gothic"/>
        </w:rPr>
        <w:t xml:space="preserve">. Wysoki odsetek ocen negatywnych (24,07%) sugeruje, że procedury „wejściowe” są dla pacjentów zbyt skomplikowane lub długotrwałe. Jest to kluczowy punkt zapalny, który rzutuje na postrzeganie całej instytucji. </w:t>
      </w:r>
      <w:r w:rsidR="003A73C5" w:rsidRPr="003A73C5">
        <w:rPr>
          <w:rStyle w:val="citation-375"/>
          <w:rFonts w:ascii="Century Gothic" w:hAnsi="Century Gothic"/>
        </w:rPr>
        <w:t>Skrajna polaryzacja (wysokie 10 przy wysokich 0) wskazuj</w:t>
      </w:r>
      <w:r w:rsidR="00E165ED">
        <w:rPr>
          <w:rStyle w:val="citation-375"/>
          <w:rFonts w:ascii="Century Gothic" w:hAnsi="Century Gothic"/>
        </w:rPr>
        <w:t>e na brak standaryzacji obsługi</w:t>
      </w:r>
      <w:r w:rsidR="00E165ED">
        <w:rPr>
          <w:rStyle w:val="citation-375"/>
          <w:rFonts w:ascii="Century Gothic" w:hAnsi="Century Gothic"/>
        </w:rPr>
        <w:br/>
      </w:r>
      <w:r w:rsidR="003A73C5" w:rsidRPr="003A73C5">
        <w:rPr>
          <w:rStyle w:val="citation-375"/>
          <w:rFonts w:ascii="Century Gothic" w:hAnsi="Century Gothic"/>
        </w:rPr>
        <w:t>w różnych punktach przyjęć</w:t>
      </w:r>
      <w:r w:rsidR="003A73C5" w:rsidRPr="003A73C5">
        <w:rPr>
          <w:rFonts w:ascii="Century Gothic" w:hAnsi="Century Gothic"/>
        </w:rPr>
        <w:t>.</w:t>
      </w:r>
    </w:p>
    <w:p w:rsidR="00347874" w:rsidRDefault="00347874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347874" w:rsidRDefault="00347874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E165ED" w:rsidRDefault="00E165ED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E165ED" w:rsidRDefault="00E165ED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E165ED" w:rsidRDefault="00E165ED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80322A" w:rsidRDefault="0080322A" w:rsidP="00B954AA">
      <w:pPr>
        <w:spacing w:after="120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B01. Jak oceniasz uwzględnianie przez personel medyczny Twojego zdania</w:t>
      </w:r>
      <w:r w:rsidR="00B954AA">
        <w:rPr>
          <w:rFonts w:ascii="Century Gothic" w:eastAsia="Times New Roman" w:hAnsi="Century Gothic" w:cs="Times New Roman"/>
          <w:b/>
          <w:bCs/>
          <w:lang w:eastAsia="pl-PL"/>
        </w:rPr>
        <w:br/>
        <w:t xml:space="preserve">        </w:t>
      </w:r>
      <w:r w:rsidRPr="00F74933">
        <w:rPr>
          <w:rFonts w:ascii="Century Gothic" w:eastAsia="Times New Roman" w:hAnsi="Century Gothic" w:cs="Times New Roman"/>
          <w:b/>
          <w:bCs/>
          <w:lang w:eastAsia="pl-PL"/>
        </w:rPr>
        <w:t>w procesie leczenia?</w:t>
      </w:r>
    </w:p>
    <w:tbl>
      <w:tblPr>
        <w:tblW w:w="9362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347874" w:rsidRPr="00835D19" w:rsidTr="00555C52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347874" w:rsidRPr="00CE320B" w:rsidRDefault="00347874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347874" w:rsidRPr="00CE320B" w:rsidRDefault="00347874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347874" w:rsidRPr="00CE320B" w:rsidRDefault="00347874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6E1E36" w:rsidRPr="00835D19" w:rsidTr="00555C52">
        <w:trPr>
          <w:trHeight w:hRule="exact" w:val="964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6E1E36" w:rsidRPr="00CE320B" w:rsidRDefault="006E1E36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6E1E36" w:rsidRPr="006E1E36" w:rsidRDefault="006E1E36" w:rsidP="006E1E36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70,86%</w:t>
            </w:r>
          </w:p>
          <w:p w:rsidR="006E1E36" w:rsidRPr="00F74933" w:rsidRDefault="006E1E36" w:rsidP="006E1E36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(462 przypadki)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6E1E36" w:rsidP="003A73C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Ponad 61% pacjentów jest bardzo zadowolonych (10), a blisko 10% ocenia ten aspekt na 9.</w:t>
            </w:r>
          </w:p>
        </w:tc>
      </w:tr>
      <w:tr w:rsidR="006E1E36" w:rsidRPr="00835D19" w:rsidTr="00555C52">
        <w:trPr>
          <w:trHeight w:hRule="exact" w:val="1352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6E1E36" w:rsidRPr="00CE320B" w:rsidRDefault="006E1E36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6E1E36" w:rsidRPr="006E1E36" w:rsidRDefault="006E1E36" w:rsidP="006E1E36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6,90%</w:t>
            </w:r>
          </w:p>
          <w:p w:rsidR="006E1E36" w:rsidRPr="00F74933" w:rsidRDefault="006E1E36" w:rsidP="006E1E36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(45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6E1E36" w:rsidP="003A73C5">
            <w:pPr>
              <w:pStyle w:val="NormalnyWeb"/>
              <w:spacing w:before="0" w:beforeAutospacing="0" w:after="0" w:afterAutospacing="0"/>
              <w:ind w:left="57"/>
              <w:rPr>
                <w:rFonts w:ascii="Century Gothic" w:hAnsi="Century Gothic"/>
                <w:sz w:val="20"/>
                <w:szCs w:val="20"/>
              </w:rPr>
            </w:pPr>
            <w:r w:rsidRPr="00F74933">
              <w:rPr>
                <w:rFonts w:ascii="Century Gothic" w:hAnsi="Century Gothic"/>
                <w:sz w:val="20"/>
                <w:szCs w:val="20"/>
              </w:rPr>
              <w:t>Bardzo niski odsetek ocen neutralnych (2,61% dla oceny 7 i 4,29% dla 8).</w:t>
            </w:r>
            <w:r w:rsidR="003A73C5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3A73C5" w:rsidRPr="003A73C5">
              <w:rPr>
                <w:rFonts w:ascii="Century Gothic" w:hAnsi="Century Gothic"/>
                <w:sz w:val="20"/>
                <w:szCs w:val="20"/>
              </w:rPr>
              <w:t>Grupa o niskim zaangażowaniu emocjonalnym w relację</w:t>
            </w:r>
            <w:r w:rsidR="003A73C5">
              <w:rPr>
                <w:rFonts w:ascii="Century Gothic" w:hAnsi="Century Gothic"/>
                <w:sz w:val="20"/>
                <w:szCs w:val="20"/>
              </w:rPr>
              <w:br/>
            </w:r>
            <w:r w:rsidR="003A73C5" w:rsidRPr="003A73C5">
              <w:rPr>
                <w:rFonts w:ascii="Century Gothic" w:hAnsi="Century Gothic"/>
                <w:sz w:val="20"/>
                <w:szCs w:val="20"/>
              </w:rPr>
              <w:t>z lekarzem.</w:t>
            </w:r>
          </w:p>
        </w:tc>
      </w:tr>
      <w:tr w:rsidR="006E1E36" w:rsidRPr="00835D19" w:rsidTr="00555C52">
        <w:trPr>
          <w:trHeight w:hRule="exact" w:val="1231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6E1E36" w:rsidRPr="00CE320B" w:rsidRDefault="006E1E36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CE320B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6E1E36" w:rsidRPr="006E1E36" w:rsidRDefault="006E1E36" w:rsidP="006E1E36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22,24%</w:t>
            </w:r>
          </w:p>
          <w:p w:rsidR="006E1E36" w:rsidRPr="00F74933" w:rsidRDefault="006E1E36" w:rsidP="006E1E36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(145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6E1E36" w:rsidP="003A73C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Co piąty pacjent (22,24%) czuje, że jego zdanie nie jest wystarczająco brane pod uwagę.</w:t>
            </w:r>
            <w:r w:rsidR="003A73C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Grupa ta czuje się uprzedmiotowiona.</w:t>
            </w:r>
          </w:p>
        </w:tc>
      </w:tr>
    </w:tbl>
    <w:p w:rsidR="00347874" w:rsidRDefault="00347874" w:rsidP="000B668C">
      <w:pPr>
        <w:spacing w:after="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347874" w:rsidRPr="00F74933" w:rsidRDefault="000B668C" w:rsidP="000B668C">
      <w:pPr>
        <w:spacing w:after="120" w:line="240" w:lineRule="auto"/>
        <w:jc w:val="center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0B668C">
        <w:rPr>
          <w:rFonts w:ascii="Century Gothic" w:eastAsia="Times New Roman" w:hAnsi="Century Gothic" w:cs="Times New Roman"/>
          <w:b/>
          <w:bCs/>
          <w:lang w:eastAsia="pl-PL"/>
        </w:rPr>
        <w:drawing>
          <wp:inline distT="0" distB="0" distL="0" distR="0">
            <wp:extent cx="4320000" cy="2520000"/>
            <wp:effectExtent l="19050" t="0" r="23400" b="0"/>
            <wp:docPr id="2" name="Wykres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3A73C5" w:rsidRDefault="0080322A" w:rsidP="000B668C">
      <w:pPr>
        <w:spacing w:before="360" w:after="0"/>
        <w:jc w:val="both"/>
        <w:rPr>
          <w:rFonts w:ascii="Century Gothic" w:eastAsia="Times New Roman" w:hAnsi="Century Gothic" w:cs="Times New Roman"/>
          <w:lang w:eastAsia="pl-PL"/>
        </w:rPr>
      </w:pPr>
      <w:r w:rsidRPr="006E1E36">
        <w:rPr>
          <w:rFonts w:ascii="Century Gothic" w:eastAsia="Times New Roman" w:hAnsi="Century Gothic" w:cs="Times New Roman"/>
          <w:b/>
          <w:lang w:eastAsia="pl-PL"/>
        </w:rPr>
        <w:t>Wniosek:</w:t>
      </w:r>
      <w:r w:rsidRPr="006E1E36">
        <w:rPr>
          <w:rFonts w:ascii="Century Gothic" w:eastAsia="Times New Roman" w:hAnsi="Century Gothic" w:cs="Times New Roman"/>
          <w:lang w:eastAsia="pl-PL"/>
        </w:rPr>
        <w:t xml:space="preserve"> </w:t>
      </w:r>
      <w:r w:rsidR="003A73C5" w:rsidRPr="003A73C5">
        <w:rPr>
          <w:rFonts w:ascii="Century Gothic" w:eastAsia="Times New Roman" w:hAnsi="Century Gothic" w:cs="Times New Roman"/>
          <w:lang w:eastAsia="pl-PL"/>
        </w:rPr>
        <w:t>Mimo że ponad 70% pacjentów czuje się wysłuchanych, co piąty chory doświadcza braku podmiotowości</w:t>
      </w:r>
      <w:r w:rsidR="003A73C5">
        <w:rPr>
          <w:rFonts w:ascii="Century Gothic" w:eastAsia="Times New Roman" w:hAnsi="Century Gothic" w:cs="Times New Roman"/>
          <w:lang w:eastAsia="pl-PL"/>
        </w:rPr>
        <w:t xml:space="preserve"> (22,24%)</w:t>
      </w:r>
      <w:r w:rsidR="003A73C5" w:rsidRPr="003A73C5">
        <w:rPr>
          <w:rFonts w:ascii="Century Gothic" w:eastAsia="Times New Roman" w:hAnsi="Century Gothic" w:cs="Times New Roman"/>
          <w:lang w:eastAsia="pl-PL"/>
        </w:rPr>
        <w:t>. Wynik ten sugeruje potrzebę wzmocnienia modelu op</w:t>
      </w:r>
      <w:r w:rsidR="003A73C5">
        <w:rPr>
          <w:rFonts w:ascii="Century Gothic" w:eastAsia="Times New Roman" w:hAnsi="Century Gothic" w:cs="Times New Roman"/>
          <w:lang w:eastAsia="pl-PL"/>
        </w:rPr>
        <w:t>ieki zorientowanej na pacjenta</w:t>
      </w:r>
      <w:r w:rsidR="003A73C5" w:rsidRPr="003A73C5">
        <w:rPr>
          <w:rFonts w:ascii="Century Gothic" w:eastAsia="Times New Roman" w:hAnsi="Century Gothic" w:cs="Times New Roman"/>
          <w:lang w:eastAsia="pl-PL"/>
        </w:rPr>
        <w:t>. Niezadowolenie w tym obszarze często wynika z paternalistycznego podejścia personelu lub pośpiechu, co uniemożliwia partnerski dialog o metodach terapii.</w:t>
      </w:r>
    </w:p>
    <w:p w:rsidR="003A73C5" w:rsidRDefault="003A73C5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3A73C5" w:rsidRDefault="003A73C5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80322A" w:rsidRDefault="0080322A" w:rsidP="0080322A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6E501D" w:rsidRDefault="006E501D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6E501D" w:rsidRDefault="006E501D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80322A" w:rsidRDefault="0080322A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B02. Jak oceniasz opiekę/zaangażowanie personelu medycznego?</w:t>
      </w:r>
    </w:p>
    <w:tbl>
      <w:tblPr>
        <w:tblW w:w="9362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6E501D" w:rsidRPr="00D53DAF" w:rsidTr="00555C52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6E501D" w:rsidRPr="00D53DAF" w:rsidTr="00555C52">
        <w:trPr>
          <w:trHeight w:hRule="exact" w:val="964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6E501D" w:rsidRPr="006E501D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71,58%</w:t>
            </w:r>
          </w:p>
          <w:p w:rsidR="006E501D" w:rsidRPr="00F74933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(476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6E501D" w:rsidP="006E501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Wys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oka ocena zaangażowania</w:t>
            </w:r>
            <w:r w:rsidR="003A73C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i wysokie zaufanie do personelu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(62,86%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to ocena 10).</w:t>
            </w:r>
          </w:p>
        </w:tc>
      </w:tr>
      <w:tr w:rsidR="006E501D" w:rsidRPr="00D53DAF" w:rsidTr="00555C52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6E501D" w:rsidRPr="006E501D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6,16%</w:t>
            </w:r>
          </w:p>
          <w:p w:rsidR="006E501D" w:rsidRPr="00F74933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(41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6E501D" w:rsidP="006E501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Oceny neutralne stanowią marginalną część wyników.</w:t>
            </w:r>
          </w:p>
        </w:tc>
      </w:tr>
      <w:tr w:rsidR="006E501D" w:rsidRPr="00D53DAF" w:rsidTr="00555C52">
        <w:trPr>
          <w:trHeight w:hRule="exact" w:val="1302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6E501D" w:rsidRPr="006E501D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22,25%</w:t>
            </w:r>
          </w:p>
          <w:p w:rsidR="006E501D" w:rsidRPr="00F74933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(148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6E501D" w:rsidP="006E501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Mimo wysokich ocen skrajnych, 22,25% pacjentów wyraża niezadowolenie z opieki.</w:t>
            </w:r>
            <w:r w:rsidR="003A73C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3A73C5" w:rsidRPr="003A73C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Krytyczna ocena postawy personelu u co piątego badanego.</w:t>
            </w:r>
          </w:p>
        </w:tc>
      </w:tr>
    </w:tbl>
    <w:p w:rsidR="006E501D" w:rsidRDefault="006E501D" w:rsidP="006E501D">
      <w:pPr>
        <w:spacing w:after="0"/>
        <w:jc w:val="both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6E501D" w:rsidRDefault="00306BD8" w:rsidP="00306BD8">
      <w:pPr>
        <w:spacing w:after="240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306BD8"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  <w:drawing>
          <wp:inline distT="0" distB="0" distL="0" distR="0">
            <wp:extent cx="4320000" cy="2520000"/>
            <wp:effectExtent l="19050" t="0" r="23400" b="0"/>
            <wp:docPr id="4" name="Wykres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DD3A1B" w:rsidRDefault="0080322A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  <w:r w:rsidRPr="006E501D">
        <w:rPr>
          <w:rFonts w:ascii="Century Gothic" w:eastAsia="Times New Roman" w:hAnsi="Century Gothic" w:cs="Times New Roman"/>
          <w:b/>
          <w:bCs/>
          <w:lang w:eastAsia="pl-PL"/>
        </w:rPr>
        <w:t>Wniosek</w:t>
      </w:r>
      <w:r w:rsidRPr="006E501D">
        <w:rPr>
          <w:rFonts w:ascii="Century Gothic" w:eastAsia="Times New Roman" w:hAnsi="Century Gothic" w:cs="Times New Roman"/>
          <w:lang w:eastAsia="pl-PL"/>
        </w:rPr>
        <w:t xml:space="preserve">: </w:t>
      </w:r>
      <w:r w:rsidR="00DD3A1B" w:rsidRPr="00DD3A1B">
        <w:rPr>
          <w:rFonts w:ascii="Century Gothic" w:eastAsia="Times New Roman" w:hAnsi="Century Gothic" w:cs="Times New Roman"/>
          <w:lang w:eastAsia="pl-PL"/>
        </w:rPr>
        <w:t>Zaangażowanie personelu jest oceniane wysoko przez większość, jednak stały odsetek ocen negatywnych powyżej 20% jest sygnałem alarmowym dotyczącym „wypalenia relacyjnego” części kadr. Rozdźwięk między grupą zachwyconą opieką a grupą silnie krytyczną może wynikać z braków kadrowych na wybranych dyżurach, co bezpośrednio przekłada się na mniejszą dostępność personelu dla pacjenta</w:t>
      </w:r>
      <w:r w:rsidR="00DD3A1B">
        <w:rPr>
          <w:rFonts w:ascii="Century Gothic" w:eastAsia="Times New Roman" w:hAnsi="Century Gothic" w:cs="Times New Roman"/>
          <w:lang w:eastAsia="pl-PL"/>
        </w:rPr>
        <w:t>.</w:t>
      </w:r>
      <w:r w:rsidR="00DD3A1B" w:rsidRPr="00DD3A1B">
        <w:rPr>
          <w:rFonts w:ascii="Century Gothic" w:eastAsia="Times New Roman" w:hAnsi="Century Gothic" w:cs="Times New Roman"/>
          <w:lang w:eastAsia="pl-PL"/>
        </w:rPr>
        <w:t xml:space="preserve"> </w:t>
      </w:r>
      <w:r w:rsidR="00DD3A1B">
        <w:rPr>
          <w:rFonts w:ascii="Century Gothic" w:eastAsia="Times New Roman" w:hAnsi="Century Gothic" w:cs="Times New Roman"/>
          <w:lang w:eastAsia="pl-PL"/>
        </w:rPr>
        <w:t>P</w:t>
      </w:r>
      <w:r w:rsidR="00DD3A1B" w:rsidRPr="006E501D">
        <w:rPr>
          <w:rFonts w:ascii="Century Gothic" w:eastAsia="Times New Roman" w:hAnsi="Century Gothic" w:cs="Times New Roman"/>
          <w:lang w:eastAsia="pl-PL"/>
        </w:rPr>
        <w:t xml:space="preserve">olaryzacja ocen wskazuje </w:t>
      </w:r>
      <w:r w:rsidR="00DD3A1B">
        <w:rPr>
          <w:rFonts w:ascii="Century Gothic" w:eastAsia="Times New Roman" w:hAnsi="Century Gothic" w:cs="Times New Roman"/>
          <w:lang w:eastAsia="pl-PL"/>
        </w:rPr>
        <w:t xml:space="preserve">także </w:t>
      </w:r>
      <w:r w:rsidR="00DD3A1B" w:rsidRPr="006E501D">
        <w:rPr>
          <w:rFonts w:ascii="Century Gothic" w:eastAsia="Times New Roman" w:hAnsi="Century Gothic" w:cs="Times New Roman"/>
          <w:lang w:eastAsia="pl-PL"/>
        </w:rPr>
        <w:t>na różnice w jakości opieki między poszczególnymi jednostkami</w:t>
      </w:r>
      <w:r w:rsidR="009773B5">
        <w:rPr>
          <w:rFonts w:ascii="Century Gothic" w:eastAsia="Times New Roman" w:hAnsi="Century Gothic" w:cs="Times New Roman"/>
          <w:lang w:eastAsia="pl-PL"/>
        </w:rPr>
        <w:t>.</w:t>
      </w:r>
    </w:p>
    <w:p w:rsidR="00DD3A1B" w:rsidRDefault="00DD3A1B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80322A" w:rsidRDefault="0080322A" w:rsidP="0080322A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6E501D" w:rsidRDefault="006E501D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6E501D" w:rsidRDefault="006E501D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6E501D" w:rsidRDefault="006E501D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6E501D" w:rsidRDefault="006E501D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80322A" w:rsidRDefault="0080322A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B03. Jak oceniasz próby zmniejszania bólu poprzez podanie leków?</w:t>
      </w:r>
    </w:p>
    <w:tbl>
      <w:tblPr>
        <w:tblW w:w="9362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6E501D" w:rsidRPr="00D53DAF" w:rsidTr="00F84E48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6E501D" w:rsidRPr="00D53DAF" w:rsidTr="00F84E48">
        <w:trPr>
          <w:trHeight w:hRule="exact" w:val="1094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6E501D" w:rsidRPr="006E501D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70,94%</w:t>
            </w:r>
          </w:p>
          <w:p w:rsidR="006E501D" w:rsidRPr="00F74933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(393 przypadki)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6E501D" w:rsidP="006E501D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Blisko 61% pacjentów ocenia leczenie bólu na 10.</w:t>
            </w:r>
            <w:r w:rsidR="00DD3A1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DD3A1B" w:rsidRPr="00DD3A1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Skuteczna farmakoterapia bólu u 70,9% pacjentów.</w:t>
            </w:r>
          </w:p>
        </w:tc>
      </w:tr>
      <w:tr w:rsidR="006E501D" w:rsidRPr="00D53DAF" w:rsidTr="00F84E48">
        <w:trPr>
          <w:trHeight w:hRule="exact" w:val="953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6E501D" w:rsidRPr="006E501D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8,12%</w:t>
            </w:r>
          </w:p>
          <w:p w:rsidR="006E501D" w:rsidRPr="00F74933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(45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6E501D" w:rsidP="006E501D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Oceny 7 i 8 stanowią łącznie 8,12% głosów.</w:t>
            </w:r>
            <w:r w:rsidR="00DD3A1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DD3A1B" w:rsidRPr="00DD3A1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Pacjenci, u których ból był redukowany, ale nie wyeliminowany w pełni.</w:t>
            </w:r>
          </w:p>
        </w:tc>
      </w:tr>
      <w:tr w:rsidR="006E501D" w:rsidRPr="00D53DAF" w:rsidTr="00F84E48">
        <w:trPr>
          <w:trHeight w:hRule="exact" w:val="941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6E501D" w:rsidRPr="000D2804" w:rsidRDefault="006E501D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0D2804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6E501D" w:rsidRPr="006E501D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20,95%</w:t>
            </w:r>
          </w:p>
          <w:p w:rsidR="006E501D" w:rsidRPr="00F74933" w:rsidRDefault="006E501D" w:rsidP="006E501D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(116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6E501D" w:rsidP="00DD3A1B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Co piąty pacjent ocenia skuteczność walki</w:t>
            </w:r>
            <w:r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z bólem </w:t>
            </w:r>
            <w:r w:rsidR="00DD3A1B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jako niewystarczającą.</w:t>
            </w:r>
          </w:p>
        </w:tc>
      </w:tr>
    </w:tbl>
    <w:p w:rsidR="006E501D" w:rsidRDefault="006E501D" w:rsidP="006E501D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6E501D" w:rsidRDefault="00306BD8" w:rsidP="00306BD8">
      <w:pPr>
        <w:spacing w:after="240"/>
        <w:jc w:val="center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306BD8">
        <w:rPr>
          <w:rFonts w:ascii="Century Gothic" w:eastAsia="Times New Roman" w:hAnsi="Century Gothic" w:cs="Times New Roman"/>
          <w:b/>
          <w:bCs/>
          <w:lang w:eastAsia="pl-PL"/>
        </w:rPr>
        <w:drawing>
          <wp:inline distT="0" distB="0" distL="0" distR="0">
            <wp:extent cx="4320000" cy="2520000"/>
            <wp:effectExtent l="19050" t="0" r="23400" b="0"/>
            <wp:docPr id="5" name="Wykres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DD3A1B" w:rsidRPr="00AD2A0F" w:rsidRDefault="0080322A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  <w:r w:rsidRPr="00AD2A0F">
        <w:rPr>
          <w:rFonts w:ascii="Century Gothic" w:eastAsia="Times New Roman" w:hAnsi="Century Gothic" w:cs="Times New Roman"/>
          <w:b/>
          <w:bCs/>
          <w:lang w:eastAsia="pl-PL"/>
        </w:rPr>
        <w:t>Wniosek</w:t>
      </w:r>
      <w:r w:rsidRPr="00AD2A0F">
        <w:rPr>
          <w:rFonts w:ascii="Century Gothic" w:eastAsia="Times New Roman" w:hAnsi="Century Gothic" w:cs="Times New Roman"/>
          <w:lang w:eastAsia="pl-PL"/>
        </w:rPr>
        <w:t xml:space="preserve">: </w:t>
      </w:r>
      <w:r w:rsidR="00DD3A1B" w:rsidRPr="00AD2A0F">
        <w:rPr>
          <w:rFonts w:ascii="Century Gothic" w:eastAsia="Times New Roman" w:hAnsi="Century Gothic" w:cs="Times New Roman"/>
          <w:lang w:eastAsia="pl-PL"/>
        </w:rPr>
        <w:t>Wskaźnik ten pokazuje, że walka z bólem – choć skuteczna dla większości – wciąż zawodzi u co piątego pacjenta. Przyczyną może być nie tylko niedostateczna dawka leków, ale również czas reakcji na zgłoszenie bólu przez pacjenta. Obszar ten wymaga ścisłego monitorowania w ramach certyfikacji „Szpital bez Bólu”, ponieważ ból jest najsilniejszym negatywnym bodźcem zapamiętywanym po hospitalizacji.</w:t>
      </w:r>
    </w:p>
    <w:p w:rsidR="00DD3A1B" w:rsidRDefault="00DD3A1B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80322A" w:rsidRDefault="0080322A" w:rsidP="0080322A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A5241B" w:rsidRDefault="00A5241B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A5241B" w:rsidRDefault="00A5241B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A5241B" w:rsidRDefault="00A5241B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A5241B" w:rsidRDefault="00A5241B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A5241B" w:rsidRDefault="00A5241B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A5241B" w:rsidRDefault="00A5241B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A5241B" w:rsidRPr="00D00C7D" w:rsidRDefault="0080322A" w:rsidP="00A5241B">
      <w:pPr>
        <w:spacing w:after="240" w:line="240" w:lineRule="auto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 xml:space="preserve">C01. </w:t>
      </w:r>
      <w:r w:rsidR="00A5241B" w:rsidRPr="00D00C7D">
        <w:rPr>
          <w:rFonts w:ascii="Century Gothic" w:eastAsia="Times New Roman" w:hAnsi="Century Gothic" w:cs="Times New Roman"/>
          <w:b/>
          <w:bCs/>
          <w:lang w:eastAsia="pl-PL"/>
        </w:rPr>
        <w:t xml:space="preserve">Jak oceniasz zrozumiałość przekazywanych informacji dotyczących Twojego </w:t>
      </w:r>
      <w:r w:rsidR="00A5241B">
        <w:rPr>
          <w:rFonts w:ascii="Century Gothic" w:eastAsia="Times New Roman" w:hAnsi="Century Gothic" w:cs="Times New Roman"/>
          <w:b/>
          <w:bCs/>
          <w:lang w:eastAsia="pl-PL"/>
        </w:rPr>
        <w:br/>
        <w:t xml:space="preserve">         </w:t>
      </w:r>
      <w:r w:rsidR="00A5241B" w:rsidRPr="00D00C7D">
        <w:rPr>
          <w:rFonts w:ascii="Century Gothic" w:eastAsia="Times New Roman" w:hAnsi="Century Gothic" w:cs="Times New Roman"/>
          <w:b/>
          <w:bCs/>
          <w:lang w:eastAsia="pl-PL"/>
        </w:rPr>
        <w:t>stanu zdrowia i pro</w:t>
      </w:r>
      <w:r w:rsidR="00E165ED">
        <w:rPr>
          <w:rFonts w:ascii="Century Gothic" w:eastAsia="Times New Roman" w:hAnsi="Century Gothic" w:cs="Times New Roman"/>
          <w:b/>
          <w:bCs/>
          <w:lang w:eastAsia="pl-PL"/>
        </w:rPr>
        <w:t>cesu leczenia podczas pobytu w s</w:t>
      </w:r>
      <w:r w:rsidR="00A5241B" w:rsidRPr="00D00C7D">
        <w:rPr>
          <w:rFonts w:ascii="Century Gothic" w:eastAsia="Times New Roman" w:hAnsi="Century Gothic" w:cs="Times New Roman"/>
          <w:b/>
          <w:bCs/>
          <w:lang w:eastAsia="pl-PL"/>
        </w:rPr>
        <w:t>zpitalu?</w:t>
      </w:r>
    </w:p>
    <w:tbl>
      <w:tblPr>
        <w:tblW w:w="9362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A5241B" w:rsidRPr="00D53DAF" w:rsidTr="00555C52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A5241B" w:rsidRPr="00D00C7D" w:rsidRDefault="00A5241B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A5241B" w:rsidRPr="00D00C7D" w:rsidRDefault="00A5241B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A5241B" w:rsidRPr="00D00C7D" w:rsidRDefault="00A5241B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A5241B" w:rsidRPr="00D53DAF" w:rsidTr="00555C52">
        <w:trPr>
          <w:trHeight w:hRule="exact" w:val="964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A5241B" w:rsidRPr="00D00C7D" w:rsidRDefault="00A5241B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A5241B" w:rsidRPr="00A5241B" w:rsidRDefault="00A5241B" w:rsidP="00A5241B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 xml:space="preserve">71,82% </w:t>
            </w:r>
          </w:p>
          <w:p w:rsidR="00A5241B" w:rsidRPr="00F74933" w:rsidRDefault="00A5241B" w:rsidP="00A5241B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(464 przypadki)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A5241B" w:rsidP="00A5241B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Ponad 62% pacjentów ocenia komunikację bieżącą jako bardzo zrozumiałą.</w:t>
            </w:r>
          </w:p>
        </w:tc>
      </w:tr>
      <w:tr w:rsidR="00A5241B" w:rsidRPr="00D53DAF" w:rsidTr="00555C52">
        <w:trPr>
          <w:trHeight w:hRule="exact" w:val="1026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A5241B" w:rsidRPr="00D00C7D" w:rsidRDefault="00A5241B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A5241B" w:rsidRPr="00A5241B" w:rsidRDefault="00A5241B" w:rsidP="00A5241B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 xml:space="preserve">6,81% </w:t>
            </w:r>
          </w:p>
          <w:p w:rsidR="00A5241B" w:rsidRPr="00F74933" w:rsidRDefault="00A5241B" w:rsidP="00A5241B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(44 przypadki)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A5241B" w:rsidP="00A5241B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Niski odsetek postaw neutralnych.</w:t>
            </w:r>
            <w:r w:rsidR="00F91C2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F91C20" w:rsidRPr="00F91C2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Grupa wymagająca dodatkowego wyjaśnienia terminologii medycznej.</w:t>
            </w:r>
          </w:p>
        </w:tc>
      </w:tr>
      <w:tr w:rsidR="00A5241B" w:rsidRPr="00D53DAF" w:rsidTr="00555C52">
        <w:trPr>
          <w:trHeight w:hRule="exact" w:val="964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A5241B" w:rsidRPr="00D00C7D" w:rsidRDefault="00A5241B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D00C7D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A5241B" w:rsidRPr="00A5241B" w:rsidRDefault="00A5241B" w:rsidP="00A5241B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 xml:space="preserve">21,36% </w:t>
            </w:r>
          </w:p>
          <w:p w:rsidR="00A5241B" w:rsidRPr="00F74933" w:rsidRDefault="00A5241B" w:rsidP="00A5241B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(138 przypadków)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CD492D" w:rsidRPr="00F74933" w:rsidRDefault="00A5241B" w:rsidP="00A5241B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21,36% pacjentów wskazuje na problemy ze zrozumieniem informacji o zdrowiu.</w:t>
            </w:r>
            <w:r w:rsidR="00F91C2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F91C20" w:rsidRPr="00F91C2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Brak jasnej komunikacji.</w:t>
            </w:r>
          </w:p>
        </w:tc>
      </w:tr>
    </w:tbl>
    <w:p w:rsidR="00A5241B" w:rsidRDefault="00A5241B" w:rsidP="00A5241B">
      <w:pPr>
        <w:spacing w:after="0" w:line="240" w:lineRule="auto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A5241B" w:rsidRPr="00F74933" w:rsidRDefault="00555C52" w:rsidP="00555C52">
      <w:pPr>
        <w:spacing w:after="240" w:line="240" w:lineRule="auto"/>
        <w:jc w:val="center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555C52">
        <w:rPr>
          <w:rFonts w:ascii="Century Gothic" w:eastAsia="Times New Roman" w:hAnsi="Century Gothic" w:cs="Times New Roman"/>
          <w:b/>
          <w:bCs/>
          <w:lang w:eastAsia="pl-PL"/>
        </w:rPr>
        <w:drawing>
          <wp:inline distT="0" distB="0" distL="0" distR="0">
            <wp:extent cx="4320000" cy="2520000"/>
            <wp:effectExtent l="19050" t="0" r="23400" b="0"/>
            <wp:docPr id="6" name="Wykres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280D" w:rsidRPr="00A5241B" w:rsidRDefault="0080322A" w:rsidP="004A280D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  <w:r w:rsidRPr="00A5241B">
        <w:rPr>
          <w:rFonts w:ascii="Century Gothic" w:eastAsia="Times New Roman" w:hAnsi="Century Gothic" w:cs="Times New Roman"/>
          <w:b/>
          <w:bCs/>
          <w:lang w:eastAsia="pl-PL"/>
        </w:rPr>
        <w:t>Wniosek</w:t>
      </w:r>
      <w:r w:rsidRPr="00A5241B">
        <w:rPr>
          <w:rFonts w:ascii="Century Gothic" w:eastAsia="Times New Roman" w:hAnsi="Century Gothic" w:cs="Times New Roman"/>
          <w:lang w:eastAsia="pl-PL"/>
        </w:rPr>
        <w:t xml:space="preserve">: </w:t>
      </w:r>
      <w:r w:rsidR="004A280D" w:rsidRPr="004A280D">
        <w:rPr>
          <w:rFonts w:ascii="Century Gothic" w:hAnsi="Century Gothic"/>
        </w:rPr>
        <w:t>Istnieje wyraźna bariera komunikacyjna: język medyczny jest niezrozumiały dla ponad 21% chorych. Powoduje to lęk i brak poczucia bezpieczeństwa. Konieczne jest wdrożenie standardów „prostego języka” w rozmowach z pacjentem, aby uniknąć sytuacji, w której chory opuszcza gabinet bez świadomości tego, co faktycznie dzieje się z jego zdrowiem.</w:t>
      </w:r>
      <w:r w:rsidR="004A280D" w:rsidRPr="004A280D">
        <w:rPr>
          <w:rFonts w:ascii="Century Gothic" w:eastAsia="Times New Roman" w:hAnsi="Century Gothic" w:cs="Times New Roman"/>
          <w:lang w:eastAsia="pl-PL"/>
        </w:rPr>
        <w:t xml:space="preserve"> </w:t>
      </w:r>
      <w:r w:rsidR="004A280D" w:rsidRPr="00A5241B">
        <w:rPr>
          <w:rFonts w:ascii="Century Gothic" w:eastAsia="Times New Roman" w:hAnsi="Century Gothic" w:cs="Times New Roman"/>
          <w:lang w:eastAsia="pl-PL"/>
        </w:rPr>
        <w:t xml:space="preserve">Komunikacja w trakcie pobytu jest mocną stroną dla 71% pacjentów, ale bariera informacyjna dotyka </w:t>
      </w:r>
      <w:r w:rsidR="004A280D">
        <w:rPr>
          <w:rFonts w:ascii="Century Gothic" w:eastAsia="Times New Roman" w:hAnsi="Century Gothic" w:cs="Times New Roman"/>
          <w:lang w:eastAsia="pl-PL"/>
        </w:rPr>
        <w:t xml:space="preserve">jednak </w:t>
      </w:r>
      <w:r w:rsidR="004A280D" w:rsidRPr="00A5241B">
        <w:rPr>
          <w:rFonts w:ascii="Century Gothic" w:eastAsia="Times New Roman" w:hAnsi="Century Gothic" w:cs="Times New Roman"/>
          <w:lang w:eastAsia="pl-PL"/>
        </w:rPr>
        <w:t>co piątego ankietowanego</w:t>
      </w:r>
      <w:r w:rsidR="004A280D" w:rsidRPr="00F74933">
        <w:rPr>
          <w:rFonts w:ascii="Century Gothic" w:eastAsia="Times New Roman" w:hAnsi="Century Gothic" w:cs="Times New Roman"/>
          <w:lang w:eastAsia="pl-PL"/>
        </w:rPr>
        <w:t>.</w:t>
      </w:r>
    </w:p>
    <w:p w:rsidR="004A280D" w:rsidRDefault="004A280D" w:rsidP="004A280D">
      <w:pPr>
        <w:pStyle w:val="NormalnyWeb"/>
        <w:spacing w:before="0" w:beforeAutospacing="0" w:after="0" w:afterAutospacing="0" w:line="276" w:lineRule="auto"/>
        <w:jc w:val="both"/>
      </w:pPr>
    </w:p>
    <w:p w:rsidR="004A280D" w:rsidRDefault="004A280D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4A280D" w:rsidRDefault="004A280D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A5241B" w:rsidRDefault="00A5241B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A5241B" w:rsidRDefault="00A5241B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80322A" w:rsidRDefault="0080322A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  <w:lastRenderedPageBreak/>
        <w:t xml:space="preserve">C02. </w:t>
      </w:r>
      <w:r w:rsidR="002D15E7" w:rsidRPr="00BD2D77">
        <w:rPr>
          <w:rFonts w:ascii="Century Gothic" w:eastAsia="Times New Roman" w:hAnsi="Century Gothic" w:cs="Times New Roman"/>
          <w:b/>
          <w:bCs/>
          <w:lang w:eastAsia="pl-PL"/>
        </w:rPr>
        <w:t xml:space="preserve">Jak oceniasz zrozumiałość informacji przekazanych przez personel medyczny </w:t>
      </w:r>
      <w:r w:rsidR="002D15E7">
        <w:rPr>
          <w:rFonts w:ascii="Century Gothic" w:eastAsia="Times New Roman" w:hAnsi="Century Gothic" w:cs="Times New Roman"/>
          <w:b/>
          <w:bCs/>
          <w:lang w:eastAsia="pl-PL"/>
        </w:rPr>
        <w:br/>
        <w:t xml:space="preserve">         </w:t>
      </w:r>
      <w:r w:rsidR="002D15E7" w:rsidRPr="00BD2D77">
        <w:rPr>
          <w:rFonts w:ascii="Century Gothic" w:eastAsia="Times New Roman" w:hAnsi="Century Gothic" w:cs="Times New Roman"/>
          <w:b/>
          <w:bCs/>
          <w:lang w:eastAsia="pl-PL"/>
        </w:rPr>
        <w:t>dotyczących zaleceń lekarskich</w:t>
      </w:r>
      <w:r w:rsidR="002D15E7">
        <w:rPr>
          <w:rFonts w:ascii="Century Gothic" w:eastAsia="Times New Roman" w:hAnsi="Century Gothic" w:cs="Times New Roman"/>
          <w:b/>
          <w:bCs/>
          <w:lang w:eastAsia="pl-PL"/>
        </w:rPr>
        <w:t xml:space="preserve"> </w:t>
      </w:r>
      <w:r w:rsidR="002D15E7" w:rsidRPr="00BD2D77">
        <w:rPr>
          <w:rFonts w:ascii="Century Gothic" w:eastAsia="Times New Roman" w:hAnsi="Century Gothic" w:cs="Times New Roman"/>
          <w:b/>
          <w:bCs/>
          <w:lang w:eastAsia="pl-PL"/>
        </w:rPr>
        <w:t xml:space="preserve">i dalszego procesu leczenia po opuszczeniu </w:t>
      </w:r>
      <w:r w:rsidR="002D15E7">
        <w:rPr>
          <w:rFonts w:ascii="Century Gothic" w:eastAsia="Times New Roman" w:hAnsi="Century Gothic" w:cs="Times New Roman"/>
          <w:b/>
          <w:bCs/>
          <w:lang w:eastAsia="pl-PL"/>
        </w:rPr>
        <w:br/>
        <w:t xml:space="preserve">         </w:t>
      </w:r>
      <w:r w:rsidR="002D15E7" w:rsidRPr="00BD2D77">
        <w:rPr>
          <w:rFonts w:ascii="Century Gothic" w:eastAsia="Times New Roman" w:hAnsi="Century Gothic" w:cs="Times New Roman"/>
          <w:b/>
          <w:bCs/>
          <w:lang w:eastAsia="pl-PL"/>
        </w:rPr>
        <w:t>szpitala?</w:t>
      </w:r>
    </w:p>
    <w:tbl>
      <w:tblPr>
        <w:tblW w:w="9362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2D15E7" w:rsidRPr="00D53DAF" w:rsidTr="00555C52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2D15E7" w:rsidRPr="00D53DAF" w:rsidTr="00555C52">
        <w:trPr>
          <w:trHeight w:hRule="exact" w:val="964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2D15E7" w:rsidRPr="002D15E7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73,22%</w:t>
            </w:r>
          </w:p>
          <w:p w:rsidR="002D15E7" w:rsidRPr="00F74933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(473 przypadki)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2D15E7" w:rsidP="002D15E7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To jeden z najwyższych wskaźników zadowolenia w raporcie (64,09% – ocena 10).</w:t>
            </w:r>
          </w:p>
        </w:tc>
      </w:tr>
      <w:tr w:rsidR="002D15E7" w:rsidRPr="00D53DAF" w:rsidTr="00555C52">
        <w:trPr>
          <w:trHeight w:hRule="exact" w:val="101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2D15E7" w:rsidRPr="002D15E7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7,59%</w:t>
            </w:r>
          </w:p>
          <w:p w:rsidR="002D15E7" w:rsidRPr="00F74933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(49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2D15E7" w:rsidP="002D15E7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Oceny neutralne stanowią 7,59% wyników.</w:t>
            </w:r>
            <w:r w:rsidR="00B737D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B737DD" w:rsidRPr="00B737D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Pacjenci z drobnymi wątpliwościami co do dalszego leczenia.</w:t>
            </w:r>
          </w:p>
        </w:tc>
      </w:tr>
      <w:tr w:rsidR="002D15E7" w:rsidRPr="00D53DAF" w:rsidTr="00555C52">
        <w:trPr>
          <w:trHeight w:hRule="exact" w:val="1082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2D15E7" w:rsidRPr="002D15E7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19,19%</w:t>
            </w:r>
          </w:p>
          <w:p w:rsidR="002D15E7" w:rsidRPr="00F74933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(124 przypadki)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2D15E7" w:rsidP="00B40E43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Najniższy odsetek niezadowolenia w obszarze komunikacji (poniżej 20%).</w:t>
            </w:r>
            <w:r w:rsidR="00B737D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Jednak </w:t>
            </w:r>
            <w:r w:rsidR="00B40E4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</w:t>
            </w:r>
            <w:r w:rsidR="00B737DD" w:rsidRPr="00B737D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rawie </w:t>
            </w:r>
            <w:r w:rsidR="00B737D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1/5 </w:t>
            </w:r>
            <w:r w:rsidR="00B737DD" w:rsidRPr="00B737D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pacjentów wychodzi ze szpitala z poczuciem niedoinformowania.</w:t>
            </w:r>
          </w:p>
        </w:tc>
      </w:tr>
    </w:tbl>
    <w:p w:rsidR="002D15E7" w:rsidRDefault="002D15E7" w:rsidP="00555C52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2D15E7" w:rsidRDefault="00555C52" w:rsidP="00555C52">
      <w:pPr>
        <w:spacing w:before="120" w:after="240"/>
        <w:jc w:val="center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555C52"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  <w:drawing>
          <wp:inline distT="0" distB="0" distL="0" distR="0">
            <wp:extent cx="4320000" cy="2520000"/>
            <wp:effectExtent l="19050" t="0" r="23400" b="0"/>
            <wp:docPr id="7" name="Wykres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B40E43" w:rsidRDefault="0080322A" w:rsidP="00B40E43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  <w:r w:rsidRPr="002D15E7">
        <w:rPr>
          <w:rFonts w:ascii="Century Gothic" w:eastAsia="Times New Roman" w:hAnsi="Century Gothic" w:cs="Times New Roman"/>
          <w:b/>
          <w:bCs/>
          <w:lang w:eastAsia="pl-PL"/>
        </w:rPr>
        <w:t>Wniosek</w:t>
      </w:r>
      <w:r w:rsidRPr="002D15E7">
        <w:rPr>
          <w:rFonts w:ascii="Century Gothic" w:eastAsia="Times New Roman" w:hAnsi="Century Gothic" w:cs="Times New Roman"/>
          <w:lang w:eastAsia="pl-PL"/>
        </w:rPr>
        <w:t xml:space="preserve">: </w:t>
      </w:r>
      <w:r w:rsidR="00B40E43" w:rsidRPr="00B40E43">
        <w:rPr>
          <w:rFonts w:ascii="Century Gothic" w:eastAsia="Times New Roman" w:hAnsi="Century Gothic" w:cs="Times New Roman"/>
          <w:lang w:eastAsia="pl-PL"/>
        </w:rPr>
        <w:t>Proces wypisow</w:t>
      </w:r>
      <w:r w:rsidR="00E165ED">
        <w:rPr>
          <w:rFonts w:ascii="Century Gothic" w:eastAsia="Times New Roman" w:hAnsi="Century Gothic" w:cs="Times New Roman"/>
          <w:lang w:eastAsia="pl-PL"/>
        </w:rPr>
        <w:t>y jest relatywnie silną stroną S</w:t>
      </w:r>
      <w:r w:rsidR="00B40E43" w:rsidRPr="00B40E43">
        <w:rPr>
          <w:rFonts w:ascii="Century Gothic" w:eastAsia="Times New Roman" w:hAnsi="Century Gothic" w:cs="Times New Roman"/>
          <w:lang w:eastAsia="pl-PL"/>
        </w:rPr>
        <w:t>zpitala, jednak 19% negatywnych ocen to wciąż duża grupa osób narażonych na błędy w terapii domowej z powodu niezrozumienia instrukcji. Rekomenduje się stosowanie pisemnych, zindywidualizowanych planów opieki po</w:t>
      </w:r>
      <w:r w:rsidR="00B40E43">
        <w:rPr>
          <w:rFonts w:ascii="Century Gothic" w:eastAsia="Times New Roman" w:hAnsi="Century Gothic" w:cs="Times New Roman"/>
          <w:lang w:eastAsia="pl-PL"/>
        </w:rPr>
        <w:t>szpitalnej</w:t>
      </w:r>
      <w:r w:rsidR="00B40E43" w:rsidRPr="00B40E43">
        <w:rPr>
          <w:rFonts w:ascii="Century Gothic" w:eastAsia="Times New Roman" w:hAnsi="Century Gothic" w:cs="Times New Roman"/>
          <w:lang w:eastAsia="pl-PL"/>
        </w:rPr>
        <w:t xml:space="preserve">, które są łatwiejsze do przyswojenia niż ustne zalecenia w dniu wypisu. </w:t>
      </w:r>
      <w:r w:rsidR="00B40E43" w:rsidRPr="002D15E7">
        <w:rPr>
          <w:rFonts w:ascii="Century Gothic" w:eastAsia="Times New Roman" w:hAnsi="Century Gothic" w:cs="Times New Roman"/>
          <w:lang w:eastAsia="pl-PL"/>
        </w:rPr>
        <w:t>Informacje przy wypisie są przekazywane sprawniej i bardziej zrozumiale niż informacje bieżące w trakcie leczenia</w:t>
      </w:r>
      <w:r w:rsidR="00B40E43" w:rsidRPr="00F74933">
        <w:rPr>
          <w:rFonts w:ascii="Century Gothic" w:eastAsia="Times New Roman" w:hAnsi="Century Gothic" w:cs="Times New Roman"/>
          <w:lang w:eastAsia="pl-PL"/>
        </w:rPr>
        <w:t>.</w:t>
      </w:r>
    </w:p>
    <w:p w:rsidR="00B40E43" w:rsidRDefault="00B40E43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B40E43" w:rsidRDefault="00B40E43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2D15E7" w:rsidRDefault="002D15E7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555C52" w:rsidRDefault="00555C52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80322A" w:rsidRDefault="0080322A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D01. Jak oceniasz wyżywienie w szpitalu?</w:t>
      </w:r>
    </w:p>
    <w:tbl>
      <w:tblPr>
        <w:tblW w:w="9694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1974"/>
        <w:gridCol w:w="4971"/>
      </w:tblGrid>
      <w:tr w:rsidR="002D15E7" w:rsidRPr="00D53DAF" w:rsidTr="00555C52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1944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926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2D15E7" w:rsidRPr="00D53DAF" w:rsidTr="00555C52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1944" w:type="dxa"/>
            <w:vAlign w:val="center"/>
            <w:hideMark/>
          </w:tcPr>
          <w:p w:rsidR="002D15E7" w:rsidRPr="002D15E7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63,53%</w:t>
            </w:r>
          </w:p>
          <w:p w:rsidR="002D15E7" w:rsidRPr="00F74933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(270 przypadków)</w:t>
            </w:r>
          </w:p>
        </w:tc>
        <w:tc>
          <w:tcPr>
            <w:tcW w:w="4926" w:type="dxa"/>
            <w:vAlign w:val="center"/>
            <w:hideMark/>
          </w:tcPr>
          <w:p w:rsidR="00CD492D" w:rsidRPr="00F74933" w:rsidRDefault="002D15E7" w:rsidP="00E96152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Odnotowano znaczący wzrost satysfakcji – 48% pacjentów daje ocenę 10.</w:t>
            </w:r>
          </w:p>
        </w:tc>
      </w:tr>
      <w:tr w:rsidR="002D15E7" w:rsidRPr="00D53DAF" w:rsidTr="00555C52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1944" w:type="dxa"/>
            <w:vAlign w:val="center"/>
            <w:hideMark/>
          </w:tcPr>
          <w:p w:rsidR="002D15E7" w:rsidRPr="002D15E7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17,88%</w:t>
            </w:r>
          </w:p>
          <w:p w:rsidR="002D15E7" w:rsidRPr="00F74933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(76 przypadków)</w:t>
            </w:r>
          </w:p>
        </w:tc>
        <w:tc>
          <w:tcPr>
            <w:tcW w:w="4926" w:type="dxa"/>
            <w:vAlign w:val="center"/>
            <w:hideMark/>
          </w:tcPr>
          <w:p w:rsidR="00CD492D" w:rsidRPr="00F74933" w:rsidRDefault="002D15E7" w:rsidP="00E96152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To najwyższy odsetek ocen neutralnych w całym badaniu</w:t>
            </w:r>
            <w:r w:rsidR="00FE1A0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- </w:t>
            </w:r>
            <w:r w:rsidR="00FE1A00" w:rsidRPr="00FE1A0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wyżywienie „do zaakceptowania”.</w:t>
            </w:r>
          </w:p>
        </w:tc>
      </w:tr>
      <w:tr w:rsidR="002D15E7" w:rsidRPr="00D53DAF" w:rsidTr="00555C52">
        <w:trPr>
          <w:trHeight w:hRule="exact" w:val="71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2D15E7" w:rsidRPr="00BD2D77" w:rsidRDefault="002D15E7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BD2D7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1944" w:type="dxa"/>
            <w:vAlign w:val="center"/>
            <w:hideMark/>
          </w:tcPr>
          <w:p w:rsidR="002D15E7" w:rsidRPr="002D15E7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18,58%</w:t>
            </w:r>
          </w:p>
          <w:p w:rsidR="002D15E7" w:rsidRPr="00F74933" w:rsidRDefault="002D15E7" w:rsidP="002D15E7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(79 przypadków)</w:t>
            </w:r>
          </w:p>
        </w:tc>
        <w:tc>
          <w:tcPr>
            <w:tcW w:w="4926" w:type="dxa"/>
            <w:vAlign w:val="center"/>
            <w:hideMark/>
          </w:tcPr>
          <w:p w:rsidR="00CD492D" w:rsidRPr="00F74933" w:rsidRDefault="002D15E7" w:rsidP="00E96152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Znacząca redukcja ocen negatywnych</w:t>
            </w:r>
            <w:r w:rsidR="00E96152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w stosunku do </w:t>
            </w:r>
            <w:r w:rsidR="00E96152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roku ubiegłego</w:t>
            </w: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.</w:t>
            </w:r>
          </w:p>
        </w:tc>
      </w:tr>
    </w:tbl>
    <w:p w:rsidR="002D15E7" w:rsidRDefault="002D15E7" w:rsidP="00E96152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E96152" w:rsidRDefault="00555C52" w:rsidP="00555C52">
      <w:pPr>
        <w:spacing w:after="240"/>
        <w:jc w:val="center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555C52">
        <w:rPr>
          <w:rFonts w:ascii="Century Gothic" w:eastAsia="Times New Roman" w:hAnsi="Century Gothic" w:cs="Times New Roman"/>
          <w:b/>
          <w:bCs/>
          <w:lang w:eastAsia="pl-PL"/>
        </w:rPr>
        <w:drawing>
          <wp:inline distT="0" distB="0" distL="0" distR="0">
            <wp:extent cx="4320000" cy="2520000"/>
            <wp:effectExtent l="19050" t="0" r="23400" b="0"/>
            <wp:docPr id="8" name="Wykres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B954AA" w:rsidRDefault="0080322A" w:rsidP="00555C52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E96152">
        <w:rPr>
          <w:rFonts w:ascii="Century Gothic" w:eastAsia="Times New Roman" w:hAnsi="Century Gothic" w:cs="Times New Roman"/>
          <w:b/>
          <w:bCs/>
          <w:lang w:eastAsia="pl-PL"/>
        </w:rPr>
        <w:t>Wniosek</w:t>
      </w:r>
      <w:r w:rsidRPr="00E96152">
        <w:rPr>
          <w:rFonts w:ascii="Century Gothic" w:eastAsia="Times New Roman" w:hAnsi="Century Gothic" w:cs="Times New Roman"/>
          <w:lang w:eastAsia="pl-PL"/>
        </w:rPr>
        <w:t xml:space="preserve">: </w:t>
      </w:r>
      <w:r w:rsidR="00FE1A00" w:rsidRPr="00FE1A00">
        <w:rPr>
          <w:rFonts w:ascii="Century Gothic" w:eastAsia="Times New Roman" w:hAnsi="Century Gothic" w:cs="Times New Roman"/>
          <w:lang w:eastAsia="pl-PL"/>
        </w:rPr>
        <w:t>Wyżywienie tradycyjnie pozostaje obszarem o najniższym „entuzjazmie” pacjentów (najmniej ocen 10). Wysoka obojętność (blisko 18%) sugeruje, że pacjenci traktują jedzenie szpitalne jako konieczność, a nie element terapii. Choć odsetek ocen złych jest niższy niż przy przyjęciach (A01), to jakość posiłków wymaga systemowej poprawy, by wspierać proces rekonwalescencji.</w:t>
      </w:r>
      <w:r w:rsidR="00FE1A00">
        <w:rPr>
          <w:rFonts w:ascii="Century Gothic" w:eastAsia="Times New Roman" w:hAnsi="Century Gothic" w:cs="Times New Roman"/>
          <w:lang w:eastAsia="pl-PL"/>
        </w:rPr>
        <w:t xml:space="preserve"> Przyznać jednak należy, że o</w:t>
      </w:r>
      <w:r w:rsidRPr="00E96152">
        <w:rPr>
          <w:rFonts w:ascii="Century Gothic" w:eastAsia="Times New Roman" w:hAnsi="Century Gothic" w:cs="Times New Roman"/>
          <w:lang w:eastAsia="pl-PL"/>
        </w:rPr>
        <w:t>bszar wyżywienia prz</w:t>
      </w:r>
      <w:r w:rsidR="00FE1A00">
        <w:rPr>
          <w:rFonts w:ascii="Century Gothic" w:eastAsia="Times New Roman" w:hAnsi="Century Gothic" w:cs="Times New Roman"/>
          <w:lang w:eastAsia="pl-PL"/>
        </w:rPr>
        <w:t xml:space="preserve">eszedł pozytywną transformację w stosunku do roku 2024 - </w:t>
      </w:r>
      <w:r w:rsidRPr="00E96152">
        <w:rPr>
          <w:rFonts w:ascii="Century Gothic" w:eastAsia="Times New Roman" w:hAnsi="Century Gothic" w:cs="Times New Roman"/>
          <w:lang w:eastAsia="pl-PL"/>
        </w:rPr>
        <w:t xml:space="preserve">przestał być </w:t>
      </w:r>
      <w:r w:rsidR="00E96152">
        <w:rPr>
          <w:rFonts w:ascii="Century Gothic" w:eastAsia="Times New Roman" w:hAnsi="Century Gothic" w:cs="Times New Roman"/>
          <w:lang w:eastAsia="pl-PL"/>
        </w:rPr>
        <w:t>najsłabszym obszarem z największym</w:t>
      </w:r>
      <w:r w:rsidRPr="00E96152">
        <w:rPr>
          <w:rFonts w:ascii="Century Gothic" w:eastAsia="Times New Roman" w:hAnsi="Century Gothic" w:cs="Times New Roman"/>
          <w:lang w:eastAsia="pl-PL"/>
        </w:rPr>
        <w:t xml:space="preserve"> niezadowoleni</w:t>
      </w:r>
      <w:r w:rsidR="00E96152">
        <w:rPr>
          <w:rFonts w:ascii="Century Gothic" w:eastAsia="Times New Roman" w:hAnsi="Century Gothic" w:cs="Times New Roman"/>
          <w:lang w:eastAsia="pl-PL"/>
        </w:rPr>
        <w:t>em</w:t>
      </w:r>
      <w:r w:rsidRPr="00E96152">
        <w:rPr>
          <w:rFonts w:ascii="Century Gothic" w:eastAsia="Times New Roman" w:hAnsi="Century Gothic" w:cs="Times New Roman"/>
          <w:lang w:eastAsia="pl-PL"/>
        </w:rPr>
        <w:t xml:space="preserve">, </w:t>
      </w:r>
    </w:p>
    <w:p w:rsidR="00E96152" w:rsidRDefault="00E96152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E96152" w:rsidRDefault="00E96152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E96152" w:rsidRDefault="00E96152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E96152" w:rsidRDefault="00E96152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E96152" w:rsidRDefault="00E96152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E96152" w:rsidRDefault="00E96152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E96152" w:rsidRDefault="00E96152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555C52" w:rsidRDefault="00555C52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80322A" w:rsidRDefault="0080322A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D02. Jak oceniasz czystość w salach, na korytarzach, w łazienkach?</w:t>
      </w:r>
    </w:p>
    <w:tbl>
      <w:tblPr>
        <w:tblW w:w="936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E96152" w:rsidRPr="00D53DAF" w:rsidTr="00CD492D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E96152" w:rsidRPr="006116E7" w:rsidRDefault="00E96152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E96152" w:rsidRPr="006116E7" w:rsidRDefault="00E96152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E96152" w:rsidRPr="006116E7" w:rsidRDefault="00E96152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E96152" w:rsidRPr="00D53DAF" w:rsidTr="00CD492D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E96152" w:rsidRPr="006116E7" w:rsidRDefault="00E96152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E96152" w:rsidRPr="00E96152" w:rsidRDefault="00E96152" w:rsidP="00E96152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76,66%</w:t>
            </w:r>
          </w:p>
          <w:p w:rsidR="00E96152" w:rsidRPr="00F74933" w:rsidRDefault="00E96152" w:rsidP="00E96152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(486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E96152" w:rsidP="009773B5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Najwyższy wskaźnik zadowolenia w całym badaniu (61,36% to ocena 10).</w:t>
            </w:r>
          </w:p>
        </w:tc>
      </w:tr>
      <w:tr w:rsidR="00E96152" w:rsidRPr="00D53DAF" w:rsidTr="00CD492D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E96152" w:rsidRPr="006116E7" w:rsidRDefault="00E96152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E96152" w:rsidRPr="00E96152" w:rsidRDefault="00E96152" w:rsidP="00E96152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10,57%</w:t>
            </w:r>
          </w:p>
          <w:p w:rsidR="00E96152" w:rsidRPr="00F74933" w:rsidRDefault="00E96152" w:rsidP="00E96152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(67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E96152" w:rsidP="009773B5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Poziom neutralności jest stabilny.</w:t>
            </w:r>
            <w:r w:rsidR="007620EF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7620EF" w:rsidRPr="007620EF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Akceptowalny standard higieny.</w:t>
            </w:r>
          </w:p>
        </w:tc>
      </w:tr>
      <w:tr w:rsidR="00E96152" w:rsidRPr="00D53DAF" w:rsidTr="00CD492D">
        <w:trPr>
          <w:trHeight w:hRule="exact" w:val="71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E96152" w:rsidRPr="006116E7" w:rsidRDefault="00E96152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6116E7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E96152" w:rsidRPr="00E96152" w:rsidRDefault="00E96152" w:rsidP="00E96152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12,77%</w:t>
            </w:r>
          </w:p>
          <w:p w:rsidR="00E96152" w:rsidRPr="00F74933" w:rsidRDefault="00E96152" w:rsidP="00E96152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(81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E96152" w:rsidP="009773B5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Najniższy wskaźnik niezadowolenia spośród wszystkich pytań.</w:t>
            </w:r>
          </w:p>
        </w:tc>
      </w:tr>
    </w:tbl>
    <w:p w:rsidR="00E96152" w:rsidRDefault="00E96152" w:rsidP="00555C52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E96152" w:rsidRDefault="00555C52" w:rsidP="00555C52">
      <w:pPr>
        <w:spacing w:after="240"/>
        <w:jc w:val="center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555C52">
        <w:rPr>
          <w:rFonts w:ascii="Century Gothic" w:eastAsia="Times New Roman" w:hAnsi="Century Gothic" w:cs="Times New Roman"/>
          <w:b/>
          <w:bCs/>
          <w:lang w:eastAsia="pl-PL"/>
        </w:rPr>
        <w:drawing>
          <wp:inline distT="0" distB="0" distL="0" distR="0">
            <wp:extent cx="4320000" cy="2520000"/>
            <wp:effectExtent l="19050" t="0" r="23400" b="0"/>
            <wp:docPr id="9" name="Wykres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80322A" w:rsidRPr="00E96152" w:rsidRDefault="0080322A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  <w:r w:rsidRPr="00E96152">
        <w:rPr>
          <w:rFonts w:ascii="Century Gothic" w:eastAsia="Times New Roman" w:hAnsi="Century Gothic" w:cs="Times New Roman"/>
          <w:b/>
          <w:bCs/>
          <w:lang w:eastAsia="pl-PL"/>
        </w:rPr>
        <w:t>Wniosek</w:t>
      </w:r>
      <w:r w:rsidRPr="00E96152">
        <w:rPr>
          <w:rFonts w:ascii="Century Gothic" w:eastAsia="Times New Roman" w:hAnsi="Century Gothic" w:cs="Times New Roman"/>
          <w:lang w:eastAsia="pl-PL"/>
        </w:rPr>
        <w:t xml:space="preserve">: </w:t>
      </w:r>
      <w:r w:rsidR="00E165ED">
        <w:rPr>
          <w:rFonts w:ascii="Century Gothic" w:eastAsia="Times New Roman" w:hAnsi="Century Gothic" w:cs="Times New Roman"/>
          <w:lang w:eastAsia="pl-PL"/>
        </w:rPr>
        <w:t>Czystość jest „wizytówką” S</w:t>
      </w:r>
      <w:r w:rsidR="007620EF" w:rsidRPr="007620EF">
        <w:rPr>
          <w:rFonts w:ascii="Century Gothic" w:eastAsia="Times New Roman" w:hAnsi="Century Gothic" w:cs="Times New Roman"/>
          <w:lang w:eastAsia="pl-PL"/>
        </w:rPr>
        <w:t>zpitala. Najniższy odsetek ocen negatywnych (12,77%) świadczy o wysokiej dyscyplinie personelu pomocniczego i skuteczności procedur sanitarnych. Utrzymanie tego poziomu jest kluczowe dla poczucia bezpieczeństwa epidemiologicznego pacjentów.</w:t>
      </w:r>
      <w:r w:rsidR="007620EF">
        <w:rPr>
          <w:rFonts w:ascii="Century Gothic" w:eastAsia="Times New Roman" w:hAnsi="Century Gothic" w:cs="Times New Roman"/>
          <w:lang w:eastAsia="pl-PL"/>
        </w:rPr>
        <w:t xml:space="preserve"> </w:t>
      </w:r>
      <w:r w:rsidRPr="00E96152">
        <w:rPr>
          <w:rFonts w:ascii="Century Gothic" w:eastAsia="Times New Roman" w:hAnsi="Century Gothic" w:cs="Times New Roman"/>
          <w:lang w:eastAsia="pl-PL"/>
        </w:rPr>
        <w:t xml:space="preserve">Utrzymanie czystości to najlepiej </w:t>
      </w:r>
      <w:r w:rsidR="00E165ED">
        <w:rPr>
          <w:rFonts w:ascii="Century Gothic" w:eastAsia="Times New Roman" w:hAnsi="Century Gothic" w:cs="Times New Roman"/>
          <w:lang w:eastAsia="pl-PL"/>
        </w:rPr>
        <w:t>oceniany aspekt funkcjonowania S</w:t>
      </w:r>
      <w:r w:rsidRPr="00E96152">
        <w:rPr>
          <w:rFonts w:ascii="Century Gothic" w:eastAsia="Times New Roman" w:hAnsi="Century Gothic" w:cs="Times New Roman"/>
          <w:lang w:eastAsia="pl-PL"/>
        </w:rPr>
        <w:t>zpitala, stanowiący wzorzec jakości</w:t>
      </w:r>
      <w:r w:rsidRPr="00F74933">
        <w:rPr>
          <w:rFonts w:ascii="Century Gothic" w:eastAsia="Times New Roman" w:hAnsi="Century Gothic" w:cs="Times New Roman"/>
          <w:lang w:eastAsia="pl-PL"/>
        </w:rPr>
        <w:t>.</w:t>
      </w:r>
    </w:p>
    <w:p w:rsidR="00B954AA" w:rsidRDefault="00B954AA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C83519" w:rsidRDefault="00C83519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C83519" w:rsidRDefault="00C83519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C83519" w:rsidRDefault="00C83519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C83519" w:rsidRDefault="00C83519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C83519" w:rsidRDefault="00C83519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C83519" w:rsidRDefault="00C83519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C83519" w:rsidRDefault="00C83519" w:rsidP="00B954AA">
      <w:pPr>
        <w:spacing w:before="120"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555C52" w:rsidRDefault="00555C52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80322A" w:rsidRDefault="0080322A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E01. Jak oceniasz respektowanie przez personel medyczny praw pacjenta?</w:t>
      </w:r>
    </w:p>
    <w:tbl>
      <w:tblPr>
        <w:tblW w:w="9362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C83519" w:rsidRPr="00600640" w:rsidTr="00555C52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C83519" w:rsidRPr="00D53DAF" w:rsidTr="00555C52">
        <w:trPr>
          <w:trHeight w:hRule="exact" w:val="1235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C83519" w:rsidRPr="00C83519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71,95%</w:t>
            </w:r>
          </w:p>
          <w:p w:rsidR="00C83519" w:rsidRPr="00F74933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(454 przypadki)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C83519" w:rsidP="00C83519">
            <w:pPr>
              <w:spacing w:after="0"/>
              <w:ind w:left="57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Bardzo wysoki poziom zadowolenia (63,23% – ocena 10).</w:t>
            </w:r>
            <w:r w:rsidR="003D3E62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3D3E62" w:rsidRPr="003D3E62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Solidne poczucie bezpieczeństwa prawnego u 72% badanych.</w:t>
            </w:r>
          </w:p>
        </w:tc>
      </w:tr>
      <w:tr w:rsidR="00C83519" w:rsidRPr="00D53DAF" w:rsidTr="00555C52">
        <w:trPr>
          <w:trHeight w:hRule="exact" w:val="737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Obojętny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(7-8)</w:t>
            </w:r>
          </w:p>
        </w:tc>
        <w:tc>
          <w:tcPr>
            <w:tcW w:w="2002" w:type="dxa"/>
            <w:vAlign w:val="center"/>
            <w:hideMark/>
          </w:tcPr>
          <w:p w:rsidR="00C83519" w:rsidRPr="00C83519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7,45%</w:t>
            </w:r>
          </w:p>
          <w:p w:rsidR="00C83519" w:rsidRPr="00F74933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(47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C83519" w:rsidP="003D3E62">
            <w:pPr>
              <w:pStyle w:val="NormalnyWeb"/>
              <w:rPr>
                <w:rFonts w:ascii="Century Gothic" w:hAnsi="Century Gothic"/>
                <w:sz w:val="20"/>
                <w:szCs w:val="20"/>
              </w:rPr>
            </w:pPr>
            <w:r w:rsidRPr="00F74933">
              <w:rPr>
                <w:rFonts w:ascii="Century Gothic" w:hAnsi="Century Gothic"/>
                <w:sz w:val="20"/>
                <w:szCs w:val="20"/>
              </w:rPr>
              <w:t>Oceny 7 i 8 stanowią łącznie 7,45%.</w:t>
            </w:r>
            <w:r w:rsidR="003D3E62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3D3E62" w:rsidRPr="003D3E62">
              <w:rPr>
                <w:rFonts w:ascii="Century Gothic" w:hAnsi="Century Gothic"/>
                <w:sz w:val="20"/>
                <w:szCs w:val="20"/>
              </w:rPr>
              <w:t>Niewielka grupa pacjentów o nieustalonym zdaniu.</w:t>
            </w:r>
          </w:p>
        </w:tc>
      </w:tr>
      <w:tr w:rsidR="00C83519" w:rsidRPr="00D53DAF" w:rsidTr="00555C52">
        <w:trPr>
          <w:trHeight w:hRule="exact" w:val="949"/>
          <w:tblCellSpacing w:w="15" w:type="dxa"/>
          <w:jc w:val="center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C83519" w:rsidRPr="00C83519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20,61%</w:t>
            </w:r>
          </w:p>
          <w:p w:rsidR="00C83519" w:rsidRPr="00F74933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(130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C83519" w:rsidP="00C83519">
            <w:pPr>
              <w:spacing w:after="0"/>
              <w:ind w:left="57"/>
              <w:jc w:val="both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Co piąty pacjent uważa, że jego prawa nie są w pełni respektowane.</w:t>
            </w:r>
          </w:p>
        </w:tc>
      </w:tr>
    </w:tbl>
    <w:p w:rsidR="00C83519" w:rsidRDefault="00C83519" w:rsidP="00555C52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C83519" w:rsidRDefault="00555C52" w:rsidP="00555C52">
      <w:pPr>
        <w:spacing w:after="240"/>
        <w:jc w:val="center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555C52">
        <w:rPr>
          <w:rFonts w:ascii="Century Gothic" w:eastAsia="Times New Roman" w:hAnsi="Century Gothic" w:cs="Times New Roman"/>
          <w:b/>
          <w:bCs/>
          <w:lang w:eastAsia="pl-PL"/>
        </w:rPr>
        <w:drawing>
          <wp:inline distT="0" distB="0" distL="0" distR="0">
            <wp:extent cx="4320000" cy="2520000"/>
            <wp:effectExtent l="19050" t="0" r="23400" b="0"/>
            <wp:docPr id="10" name="Wykres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3D3E62" w:rsidRDefault="0080322A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  <w:r w:rsidRPr="00C83519">
        <w:rPr>
          <w:rFonts w:ascii="Century Gothic" w:eastAsia="Times New Roman" w:hAnsi="Century Gothic" w:cs="Times New Roman"/>
          <w:b/>
          <w:bCs/>
          <w:lang w:eastAsia="pl-PL"/>
        </w:rPr>
        <w:t>Wniosek</w:t>
      </w:r>
      <w:r w:rsidRPr="00C83519">
        <w:rPr>
          <w:rFonts w:ascii="Century Gothic" w:eastAsia="Times New Roman" w:hAnsi="Century Gothic" w:cs="Times New Roman"/>
          <w:lang w:eastAsia="pl-PL"/>
        </w:rPr>
        <w:t xml:space="preserve">: </w:t>
      </w:r>
      <w:r w:rsidR="003D3E62" w:rsidRPr="003D3E62">
        <w:rPr>
          <w:rFonts w:ascii="Century Gothic" w:eastAsia="Times New Roman" w:hAnsi="Century Gothic" w:cs="Times New Roman"/>
          <w:lang w:eastAsia="pl-PL"/>
        </w:rPr>
        <w:t>Poziom niezadowolenia przekraczający 20% w kwestii praw pacjenta (intymność, godność, informacja) jest sygnałem wysokiego ryzyka etycznego</w:t>
      </w:r>
      <w:r w:rsidR="003D3E62">
        <w:rPr>
          <w:rFonts w:ascii="Century Gothic" w:eastAsia="Times New Roman" w:hAnsi="Century Gothic" w:cs="Times New Roman"/>
          <w:lang w:eastAsia="pl-PL"/>
        </w:rPr>
        <w:br/>
      </w:r>
      <w:r w:rsidR="003D3E62" w:rsidRPr="003D3E62">
        <w:rPr>
          <w:rFonts w:ascii="Century Gothic" w:eastAsia="Times New Roman" w:hAnsi="Century Gothic" w:cs="Times New Roman"/>
          <w:lang w:eastAsia="pl-PL"/>
        </w:rPr>
        <w:t xml:space="preserve">i wizerunkowego. Nawet jeśli pacjenci są leczeni </w:t>
      </w:r>
      <w:r w:rsidR="00E165ED">
        <w:rPr>
          <w:rFonts w:ascii="Century Gothic" w:eastAsia="Times New Roman" w:hAnsi="Century Gothic" w:cs="Times New Roman"/>
          <w:lang w:eastAsia="pl-PL"/>
        </w:rPr>
        <w:t>skutecznie, naruszenie ich praw</w:t>
      </w:r>
      <w:r w:rsidR="00E165ED">
        <w:rPr>
          <w:rFonts w:ascii="Century Gothic" w:eastAsia="Times New Roman" w:hAnsi="Century Gothic" w:cs="Times New Roman"/>
          <w:lang w:eastAsia="pl-PL"/>
        </w:rPr>
        <w:br/>
      </w:r>
      <w:r w:rsidR="003D3E62" w:rsidRPr="003D3E62">
        <w:rPr>
          <w:rFonts w:ascii="Century Gothic" w:eastAsia="Times New Roman" w:hAnsi="Century Gothic" w:cs="Times New Roman"/>
          <w:lang w:eastAsia="pl-PL"/>
        </w:rPr>
        <w:t>(np. brak parawanów, obecność osób postronnych) generuje głęboką frustrację</w:t>
      </w:r>
      <w:r w:rsidR="00E165ED">
        <w:rPr>
          <w:rFonts w:ascii="Century Gothic" w:eastAsia="Times New Roman" w:hAnsi="Century Gothic" w:cs="Times New Roman"/>
          <w:lang w:eastAsia="pl-PL"/>
        </w:rPr>
        <w:br/>
      </w:r>
      <w:r w:rsidR="003D3E62" w:rsidRPr="003D3E62">
        <w:rPr>
          <w:rFonts w:ascii="Century Gothic" w:eastAsia="Times New Roman" w:hAnsi="Century Gothic" w:cs="Times New Roman"/>
          <w:lang w:eastAsia="pl-PL"/>
        </w:rPr>
        <w:t xml:space="preserve">i rzutuje na końcową rekomendację placówki. </w:t>
      </w:r>
      <w:r w:rsidR="003D3E62" w:rsidRPr="00C83519">
        <w:rPr>
          <w:rFonts w:ascii="Century Gothic" w:eastAsia="Times New Roman" w:hAnsi="Century Gothic" w:cs="Times New Roman"/>
          <w:lang w:eastAsia="pl-PL"/>
        </w:rPr>
        <w:t xml:space="preserve">Respektowanie praw pacjenta jest oceniane wysoko przez </w:t>
      </w:r>
      <w:r w:rsidR="003D3E62">
        <w:rPr>
          <w:rFonts w:ascii="Century Gothic" w:eastAsia="Times New Roman" w:hAnsi="Century Gothic" w:cs="Times New Roman"/>
          <w:lang w:eastAsia="pl-PL"/>
        </w:rPr>
        <w:t xml:space="preserve">większość pacjentów, lecz poziom krytyki </w:t>
      </w:r>
      <w:r w:rsidR="003D3E62" w:rsidRPr="00C83519">
        <w:rPr>
          <w:rFonts w:ascii="Century Gothic" w:eastAsia="Times New Roman" w:hAnsi="Century Gothic" w:cs="Times New Roman"/>
          <w:lang w:eastAsia="pl-PL"/>
        </w:rPr>
        <w:t>pozostaje sygnałem do dalszych działań edukacyjnych</w:t>
      </w:r>
      <w:r w:rsidR="003D3E62">
        <w:rPr>
          <w:rFonts w:ascii="Century Gothic" w:eastAsia="Times New Roman" w:hAnsi="Century Gothic" w:cs="Times New Roman"/>
          <w:lang w:eastAsia="pl-PL"/>
        </w:rPr>
        <w:t>.</w:t>
      </w:r>
    </w:p>
    <w:p w:rsidR="003D3E62" w:rsidRDefault="003D3E62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80322A" w:rsidRPr="00F74933" w:rsidRDefault="0080322A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80322A" w:rsidRDefault="0080322A" w:rsidP="0080322A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C83519" w:rsidRDefault="00C83519" w:rsidP="0080322A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C83519" w:rsidRDefault="00C83519" w:rsidP="0080322A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C83519" w:rsidRDefault="00C83519" w:rsidP="0080322A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C83519" w:rsidRDefault="00C83519" w:rsidP="0080322A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</w:p>
    <w:p w:rsidR="0080322A" w:rsidRDefault="0080322A" w:rsidP="00B954AA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F74933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F01. Jakie jest prawdopodobieństwo, że polecisz ten szpital znajomym lub rodzinie?</w:t>
      </w:r>
    </w:p>
    <w:tbl>
      <w:tblPr>
        <w:tblW w:w="936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9"/>
        <w:gridCol w:w="2032"/>
        <w:gridCol w:w="4581"/>
      </w:tblGrid>
      <w:tr w:rsidR="00C83519" w:rsidRPr="00D53DAF" w:rsidTr="00CD492D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Kategoria</w:t>
            </w:r>
          </w:p>
        </w:tc>
        <w:tc>
          <w:tcPr>
            <w:tcW w:w="2002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Skumulowany odsetek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Opis</w:t>
            </w:r>
          </w:p>
        </w:tc>
      </w:tr>
      <w:tr w:rsidR="00C83519" w:rsidRPr="00D53DAF" w:rsidTr="00CD492D">
        <w:trPr>
          <w:trHeight w:hRule="exact" w:val="1153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Dobry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(9-10)</w:t>
            </w:r>
          </w:p>
        </w:tc>
        <w:tc>
          <w:tcPr>
            <w:tcW w:w="2002" w:type="dxa"/>
            <w:vAlign w:val="center"/>
            <w:hideMark/>
          </w:tcPr>
          <w:p w:rsidR="00C83519" w:rsidRPr="00C83519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71,81%</w:t>
            </w:r>
          </w:p>
          <w:p w:rsidR="00C83519" w:rsidRPr="00F74933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(451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C83519" w:rsidP="00C0080A">
            <w:pPr>
              <w:pStyle w:val="NormalnyWeb"/>
              <w:spacing w:before="0" w:beforeAutospacing="0" w:after="0" w:afterAutospacing="0"/>
              <w:ind w:left="57"/>
              <w:rPr>
                <w:rFonts w:ascii="Century Gothic" w:hAnsi="Century Gothic"/>
                <w:sz w:val="20"/>
                <w:szCs w:val="20"/>
              </w:rPr>
            </w:pPr>
            <w:r w:rsidRPr="00F74933">
              <w:rPr>
                <w:rFonts w:ascii="Century Gothic" w:hAnsi="Century Gothic"/>
                <w:sz w:val="20"/>
                <w:szCs w:val="20"/>
              </w:rPr>
              <w:t>63,69% pacjentów zdecydowanie poleciłoby szpital (ocena 10).</w:t>
            </w:r>
            <w:r w:rsidR="00C0080A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C0080A" w:rsidRPr="00C0080A">
              <w:rPr>
                <w:rFonts w:ascii="Century Gothic" w:hAnsi="Century Gothic"/>
                <w:sz w:val="20"/>
                <w:szCs w:val="20"/>
              </w:rPr>
              <w:t>Wysoka lojalność – 63,69% to „zdecydowani ambasadorzy” szpitala.</w:t>
            </w:r>
          </w:p>
        </w:tc>
      </w:tr>
      <w:tr w:rsidR="00C83519" w:rsidRPr="00D53DAF" w:rsidTr="00CD492D">
        <w:trPr>
          <w:trHeight w:hRule="exact" w:val="737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 xml:space="preserve">Obojętny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(7-8)</w:t>
            </w:r>
          </w:p>
        </w:tc>
        <w:tc>
          <w:tcPr>
            <w:tcW w:w="2002" w:type="dxa"/>
            <w:vAlign w:val="center"/>
            <w:hideMark/>
          </w:tcPr>
          <w:p w:rsidR="00C83519" w:rsidRPr="00C83519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4,77%</w:t>
            </w:r>
          </w:p>
          <w:p w:rsidR="00C83519" w:rsidRPr="00F74933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(30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C83519" w:rsidP="00C83519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Najniższy odsetek ocen neutralnych – pacjenci mają sprecyzowane opinie.</w:t>
            </w:r>
          </w:p>
        </w:tc>
      </w:tr>
      <w:tr w:rsidR="00C83519" w:rsidRPr="00D53DAF" w:rsidTr="00C0080A">
        <w:trPr>
          <w:trHeight w:hRule="exact" w:val="1390"/>
          <w:tblCellSpacing w:w="15" w:type="dxa"/>
        </w:trPr>
        <w:tc>
          <w:tcPr>
            <w:tcW w:w="2704" w:type="dxa"/>
            <w:shd w:val="clear" w:color="auto" w:fill="F2F2F2" w:themeFill="background1" w:themeFillShade="F2"/>
            <w:vAlign w:val="center"/>
            <w:hideMark/>
          </w:tcPr>
          <w:p w:rsidR="00C83519" w:rsidRPr="00600640" w:rsidRDefault="00C83519" w:rsidP="00CD492D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Obszar 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  <w:r w:rsidRPr="0060064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(0-6)</w:t>
            </w:r>
          </w:p>
        </w:tc>
        <w:tc>
          <w:tcPr>
            <w:tcW w:w="2002" w:type="dxa"/>
            <w:vAlign w:val="center"/>
            <w:hideMark/>
          </w:tcPr>
          <w:p w:rsidR="00C83519" w:rsidRPr="00C83519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pl-PL"/>
              </w:rPr>
              <w:t>23,41%</w:t>
            </w:r>
          </w:p>
          <w:p w:rsidR="00C83519" w:rsidRPr="00F74933" w:rsidRDefault="00C83519" w:rsidP="00C83519">
            <w:pPr>
              <w:spacing w:after="0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(147 przypadków)</w:t>
            </w:r>
          </w:p>
        </w:tc>
        <w:tc>
          <w:tcPr>
            <w:tcW w:w="4536" w:type="dxa"/>
            <w:vAlign w:val="center"/>
            <w:hideMark/>
          </w:tcPr>
          <w:p w:rsidR="00CD492D" w:rsidRPr="00F74933" w:rsidRDefault="00C83519" w:rsidP="00C83519">
            <w:pPr>
              <w:spacing w:after="0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Blisko 1/4 pacjentów ma opory przed rekom</w:t>
            </w:r>
            <w:r w:rsidR="00CD492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endacją placówki (11,94% ocenia</w:t>
            </w:r>
            <w:r w:rsidR="00CD492D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F7493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na 0).</w:t>
            </w:r>
            <w:r w:rsidR="00C0080A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</w:t>
            </w:r>
            <w:r w:rsidR="002421D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Bardzo wysoki wskaźnik „</w:t>
            </w:r>
            <w:r w:rsidR="00C0080A" w:rsidRPr="00C0080A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anty-rekomendacji”.</w:t>
            </w:r>
          </w:p>
        </w:tc>
      </w:tr>
    </w:tbl>
    <w:p w:rsidR="00C83519" w:rsidRDefault="00C83519" w:rsidP="00C83519">
      <w:pPr>
        <w:spacing w:after="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C83519" w:rsidRDefault="00555C52" w:rsidP="00555C52">
      <w:pPr>
        <w:spacing w:after="240"/>
        <w:jc w:val="center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555C52">
        <w:rPr>
          <w:rFonts w:ascii="Century Gothic" w:eastAsia="Times New Roman" w:hAnsi="Century Gothic" w:cs="Times New Roman"/>
          <w:b/>
          <w:bCs/>
          <w:lang w:eastAsia="pl-PL"/>
        </w:rPr>
        <w:drawing>
          <wp:inline distT="0" distB="0" distL="0" distR="0">
            <wp:extent cx="4320000" cy="2520000"/>
            <wp:effectExtent l="19050" t="0" r="23400" b="0"/>
            <wp:docPr id="11" name="Wykres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C0080A" w:rsidRDefault="0080322A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  <w:r w:rsidRPr="00C83519">
        <w:rPr>
          <w:rFonts w:ascii="Century Gothic" w:eastAsia="Times New Roman" w:hAnsi="Century Gothic" w:cs="Times New Roman"/>
          <w:b/>
          <w:bCs/>
          <w:lang w:eastAsia="pl-PL"/>
        </w:rPr>
        <w:t>Wniosek</w:t>
      </w:r>
      <w:r w:rsidRPr="00C83519">
        <w:rPr>
          <w:rFonts w:ascii="Century Gothic" w:eastAsia="Times New Roman" w:hAnsi="Century Gothic" w:cs="Times New Roman"/>
          <w:lang w:eastAsia="pl-PL"/>
        </w:rPr>
        <w:t xml:space="preserve">: </w:t>
      </w:r>
      <w:r w:rsidR="008C1E2C" w:rsidRPr="00C83519">
        <w:rPr>
          <w:rFonts w:ascii="Century Gothic" w:eastAsia="Times New Roman" w:hAnsi="Century Gothic" w:cs="Times New Roman"/>
          <w:lang w:eastAsia="pl-PL"/>
        </w:rPr>
        <w:t>Wskaźnik lojalności (71,81%) jest wysoki</w:t>
      </w:r>
      <w:r w:rsidR="008C1E2C" w:rsidRPr="008C1E2C">
        <w:rPr>
          <w:rFonts w:ascii="Century Gothic" w:eastAsia="Times New Roman" w:hAnsi="Century Gothic" w:cs="Times New Roman"/>
          <w:lang w:eastAsia="pl-PL"/>
        </w:rPr>
        <w:t xml:space="preserve">, jednakże wskaźnik </w:t>
      </w:r>
      <w:r w:rsidR="00C0080A" w:rsidRPr="008C1E2C">
        <w:rPr>
          <w:rFonts w:ascii="Century Gothic" w:eastAsia="Times New Roman" w:hAnsi="Century Gothic" w:cs="Times New Roman"/>
          <w:lang w:eastAsia="pl-PL"/>
        </w:rPr>
        <w:t xml:space="preserve">rekomendacji jest wypadkową wszystkich wcześniejszych doświadczeń. Niepokoi wysoki odsetek ocen negatywnych (23,41%), w tym aż 11,94% ocen „0 - zdecydowanie nie polecam”. Oznacza to, </w:t>
      </w:r>
      <w:r w:rsidR="00E165ED">
        <w:rPr>
          <w:rFonts w:ascii="Century Gothic" w:eastAsia="Times New Roman" w:hAnsi="Century Gothic" w:cs="Times New Roman"/>
          <w:lang w:eastAsia="pl-PL"/>
        </w:rPr>
        <w:t>że co czwarty pacjent opuszcza S</w:t>
      </w:r>
      <w:r w:rsidR="00C0080A" w:rsidRPr="008C1E2C">
        <w:rPr>
          <w:rFonts w:ascii="Century Gothic" w:eastAsia="Times New Roman" w:hAnsi="Century Gothic" w:cs="Times New Roman"/>
          <w:lang w:eastAsia="pl-PL"/>
        </w:rPr>
        <w:t>zpital z tak negatywnym nastawieniem, że będzie aktywnie odradzał placówkę innym. Poprawa tego wskaźnika jest możliwa tylko poprzez naprawę procesów na „wejściu” (A01)</w:t>
      </w:r>
      <w:r w:rsidR="002421D0">
        <w:rPr>
          <w:rFonts w:ascii="Century Gothic" w:eastAsia="Times New Roman" w:hAnsi="Century Gothic" w:cs="Times New Roman"/>
          <w:lang w:eastAsia="pl-PL"/>
        </w:rPr>
        <w:br/>
      </w:r>
      <w:r w:rsidR="00C0080A" w:rsidRPr="008C1E2C">
        <w:rPr>
          <w:rFonts w:ascii="Century Gothic" w:eastAsia="Times New Roman" w:hAnsi="Century Gothic" w:cs="Times New Roman"/>
          <w:lang w:eastAsia="pl-PL"/>
        </w:rPr>
        <w:t>i poprawę relacji personel-pacjent (B01-B02)</w:t>
      </w:r>
      <w:r w:rsidR="008C1E2C" w:rsidRPr="008C1E2C">
        <w:rPr>
          <w:rFonts w:ascii="Century Gothic" w:eastAsia="Times New Roman" w:hAnsi="Century Gothic" w:cs="Times New Roman"/>
          <w:lang w:eastAsia="pl-PL"/>
        </w:rPr>
        <w:t xml:space="preserve"> (</w:t>
      </w:r>
      <w:r w:rsidR="008C1E2C" w:rsidRPr="00C83519">
        <w:rPr>
          <w:rFonts w:ascii="Century Gothic" w:eastAsia="Times New Roman" w:hAnsi="Century Gothic" w:cs="Times New Roman"/>
          <w:lang w:eastAsia="pl-PL"/>
        </w:rPr>
        <w:t>k</w:t>
      </w:r>
      <w:r w:rsidR="008C1E2C">
        <w:rPr>
          <w:rFonts w:ascii="Century Gothic" w:eastAsia="Times New Roman" w:hAnsi="Century Gothic" w:cs="Times New Roman"/>
          <w:lang w:eastAsia="pl-PL"/>
        </w:rPr>
        <w:t>umulacja</w:t>
      </w:r>
      <w:r w:rsidR="008C1E2C" w:rsidRPr="00C83519">
        <w:rPr>
          <w:rFonts w:ascii="Century Gothic" w:eastAsia="Times New Roman" w:hAnsi="Century Gothic" w:cs="Times New Roman"/>
          <w:lang w:eastAsia="pl-PL"/>
        </w:rPr>
        <w:t xml:space="preserve"> problemów logistycznych</w:t>
      </w:r>
      <w:r w:rsidR="002421D0">
        <w:rPr>
          <w:rFonts w:ascii="Century Gothic" w:eastAsia="Times New Roman" w:hAnsi="Century Gothic" w:cs="Times New Roman"/>
          <w:lang w:eastAsia="pl-PL"/>
        </w:rPr>
        <w:br/>
      </w:r>
      <w:r w:rsidR="008C1E2C" w:rsidRPr="00C83519">
        <w:rPr>
          <w:rFonts w:ascii="Century Gothic" w:eastAsia="Times New Roman" w:hAnsi="Century Gothic" w:cs="Times New Roman"/>
          <w:lang w:eastAsia="pl-PL"/>
        </w:rPr>
        <w:t>i relacyjnych</w:t>
      </w:r>
      <w:r w:rsidR="008C1E2C">
        <w:rPr>
          <w:rFonts w:ascii="Century Gothic" w:eastAsia="Times New Roman" w:hAnsi="Century Gothic" w:cs="Times New Roman"/>
          <w:lang w:eastAsia="pl-PL"/>
        </w:rPr>
        <w:t>).</w:t>
      </w:r>
    </w:p>
    <w:p w:rsidR="00555C52" w:rsidRDefault="00555C52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555C52" w:rsidRDefault="00555C52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555C52" w:rsidRDefault="00555C52" w:rsidP="00B954AA">
      <w:pPr>
        <w:spacing w:before="120" w:after="0"/>
        <w:jc w:val="both"/>
        <w:rPr>
          <w:rFonts w:ascii="Century Gothic" w:eastAsia="Times New Roman" w:hAnsi="Century Gothic" w:cs="Times New Roman"/>
          <w:lang w:eastAsia="pl-PL"/>
        </w:rPr>
      </w:pPr>
    </w:p>
    <w:p w:rsidR="00CD492D" w:rsidRPr="00CD492D" w:rsidRDefault="00CD492D" w:rsidP="008C1E2C">
      <w:pPr>
        <w:spacing w:before="240" w:after="120"/>
        <w:jc w:val="both"/>
        <w:outlineLvl w:val="2"/>
        <w:rPr>
          <w:rFonts w:ascii="Century Gothic" w:eastAsia="Times New Roman" w:hAnsi="Century Gothic" w:cs="Times New Roman"/>
          <w:b/>
          <w:bCs/>
          <w:lang w:eastAsia="pl-PL"/>
        </w:rPr>
      </w:pPr>
      <w:r w:rsidRPr="00CD492D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>III. WNIOSKI I OBSZARY DOSKONALENIA</w:t>
      </w:r>
    </w:p>
    <w:p w:rsidR="00CD492D" w:rsidRPr="00CD492D" w:rsidRDefault="00CD492D" w:rsidP="00CD492D">
      <w:pPr>
        <w:spacing w:after="120"/>
        <w:jc w:val="both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CD492D">
        <w:rPr>
          <w:rFonts w:ascii="Century Gothic" w:eastAsia="Times New Roman" w:hAnsi="Century Gothic" w:cs="Times New Roman"/>
          <w:b/>
          <w:bCs/>
          <w:lang w:eastAsia="pl-PL"/>
        </w:rPr>
        <w:t xml:space="preserve">A. </w:t>
      </w:r>
      <w:r w:rsidRPr="00666D35">
        <w:rPr>
          <w:rFonts w:ascii="Century Gothic" w:eastAsia="Times New Roman" w:hAnsi="Century Gothic" w:cs="Times New Roman"/>
          <w:b/>
          <w:bCs/>
          <w:smallCaps/>
          <w:lang w:eastAsia="pl-PL"/>
        </w:rPr>
        <w:t>Obszary ocenione jako ZŁE (wymagające pilnej interwencji)</w:t>
      </w:r>
    </w:p>
    <w:p w:rsidR="00CD492D" w:rsidRPr="00CD492D" w:rsidRDefault="00CD492D" w:rsidP="00555C52">
      <w:pPr>
        <w:spacing w:after="120"/>
        <w:jc w:val="both"/>
        <w:rPr>
          <w:rFonts w:ascii="Century Gothic" w:eastAsia="Times New Roman" w:hAnsi="Century Gothic" w:cs="Times New Roman"/>
          <w:lang w:eastAsia="pl-PL"/>
        </w:rPr>
      </w:pPr>
      <w:r w:rsidRPr="00CD492D">
        <w:rPr>
          <w:rFonts w:ascii="Century Gothic" w:eastAsia="Times New Roman" w:hAnsi="Century Gothic" w:cs="Times New Roman"/>
          <w:lang w:eastAsia="pl-PL"/>
        </w:rPr>
        <w:t>Obszary te zebrały największy skumulowany odsetek ocen negatywnych (0–6), wskazując na najpoważniejsze problem</w:t>
      </w:r>
      <w:r w:rsidR="008C1E2C">
        <w:rPr>
          <w:rFonts w:ascii="Century Gothic" w:eastAsia="Times New Roman" w:hAnsi="Century Gothic" w:cs="Times New Roman"/>
          <w:lang w:eastAsia="pl-PL"/>
        </w:rPr>
        <w:t>y w jakości świadczonych usług</w:t>
      </w:r>
      <w:r w:rsidR="008C1E2C">
        <w:rPr>
          <w:rFonts w:ascii="Century Gothic" w:eastAsia="Times New Roman" w:hAnsi="Century Gothic" w:cs="Times New Roman"/>
          <w:lang w:eastAsia="pl-PL"/>
        </w:rPr>
        <w:br/>
      </w:r>
      <w:r w:rsidRPr="00CD492D">
        <w:rPr>
          <w:rFonts w:ascii="Century Gothic" w:eastAsia="Times New Roman" w:hAnsi="Century Gothic" w:cs="Times New Roman"/>
          <w:lang w:eastAsia="pl-PL"/>
        </w:rPr>
        <w:t>i doświadczeniu pacjenta.</w:t>
      </w:r>
    </w:p>
    <w:tbl>
      <w:tblPr>
        <w:tblW w:w="941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13"/>
        <w:gridCol w:w="1731"/>
        <w:gridCol w:w="5367"/>
      </w:tblGrid>
      <w:tr w:rsidR="007539A3" w:rsidRPr="00CD492D" w:rsidTr="007539A3">
        <w:trPr>
          <w:tblHeader/>
          <w:tblCellSpacing w:w="15" w:type="dxa"/>
        </w:trPr>
        <w:tc>
          <w:tcPr>
            <w:tcW w:w="2268" w:type="dxa"/>
            <w:shd w:val="clear" w:color="auto" w:fill="F2F2F2" w:themeFill="background1" w:themeFillShade="F2"/>
            <w:vAlign w:val="center"/>
            <w:hideMark/>
          </w:tcPr>
          <w:p w:rsidR="007539A3" w:rsidRPr="0042143A" w:rsidRDefault="007539A3" w:rsidP="009B00F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Aspekt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  <w:hideMark/>
          </w:tcPr>
          <w:p w:rsidR="007539A3" w:rsidRPr="007539A3" w:rsidRDefault="007539A3" w:rsidP="007539A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mallCaps/>
                <w:sz w:val="20"/>
                <w:szCs w:val="20"/>
                <w:lang w:eastAsia="pl-PL"/>
              </w:rPr>
              <w:t>Odsetek ocen</w:t>
            </w:r>
            <w:r>
              <w:rPr>
                <w:rFonts w:ascii="Century Gothic" w:eastAsia="Times New Roman" w:hAnsi="Century Gothic" w:cs="Times New Roman"/>
                <w:b/>
                <w:bCs/>
                <w:smallCaps/>
                <w:sz w:val="20"/>
                <w:szCs w:val="20"/>
                <w:lang w:eastAsia="pl-PL"/>
              </w:rPr>
              <w:t xml:space="preserve"> </w:t>
            </w:r>
            <w:r w:rsidRPr="007539A3">
              <w:rPr>
                <w:rFonts w:ascii="Century Gothic" w:eastAsia="Times New Roman" w:hAnsi="Century Gothic" w:cs="Times New Roman"/>
                <w:b/>
                <w:bCs/>
                <w:smallCaps/>
                <w:sz w:val="20"/>
                <w:szCs w:val="20"/>
                <w:lang w:eastAsia="pl-PL"/>
              </w:rPr>
              <w:t>0-6</w:t>
            </w:r>
            <w:r w:rsidRPr="007539A3">
              <w:rPr>
                <w:rFonts w:ascii="Century Gothic" w:eastAsia="Times New Roman" w:hAnsi="Century Gothic" w:cs="Times New Roman"/>
                <w:b/>
                <w:bCs/>
                <w:smallCaps/>
                <w:sz w:val="20"/>
                <w:szCs w:val="20"/>
                <w:lang w:eastAsia="pl-PL"/>
              </w:rPr>
              <w:br/>
              <w:t xml:space="preserve">obszar </w:t>
            </w:r>
            <w:r w:rsidRPr="007539A3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zły</w:t>
            </w:r>
          </w:p>
        </w:tc>
        <w:tc>
          <w:tcPr>
            <w:tcW w:w="5322" w:type="dxa"/>
            <w:shd w:val="clear" w:color="auto" w:fill="F2F2F2" w:themeFill="background1" w:themeFillShade="F2"/>
            <w:vAlign w:val="center"/>
            <w:hideMark/>
          </w:tcPr>
          <w:p w:rsidR="007539A3" w:rsidRPr="0042143A" w:rsidRDefault="007539A3" w:rsidP="009B00F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Kluczowe działanie</w:t>
            </w:r>
          </w:p>
        </w:tc>
      </w:tr>
      <w:tr w:rsidR="00CD492D" w:rsidRPr="00CD492D" w:rsidTr="007539A3">
        <w:trPr>
          <w:trHeight w:val="1162"/>
          <w:tblCellSpacing w:w="15" w:type="dxa"/>
        </w:trPr>
        <w:tc>
          <w:tcPr>
            <w:tcW w:w="2268" w:type="dxa"/>
            <w:vAlign w:val="center"/>
            <w:hideMark/>
          </w:tcPr>
          <w:p w:rsidR="007539A3" w:rsidRPr="007539A3" w:rsidRDefault="00CD492D" w:rsidP="007539A3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A01. Sprawność </w:t>
            </w:r>
            <w:r w:rsid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procesu </w:t>
            </w:r>
            <w:r w:rsid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przyjęcia</w:t>
            </w:r>
            <w:r w:rsid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="007539A3" w:rsidRPr="00695BD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do Szpitala</w:t>
            </w:r>
          </w:p>
        </w:tc>
        <w:tc>
          <w:tcPr>
            <w:tcW w:w="1701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24,07%</w:t>
            </w:r>
          </w:p>
        </w:tc>
        <w:tc>
          <w:tcPr>
            <w:tcW w:w="5322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Optymalizacja logistyki</w:t>
            </w:r>
            <w:r w:rsidRP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: To obecnie najbardziej krytyczny obszar (wzrost z 18,75%). Należy pilnie zredukować czas oczekiwania na SOR i w izbach przyjęć oraz usprawnić procedury administracyjne.</w:t>
            </w:r>
          </w:p>
        </w:tc>
      </w:tr>
      <w:tr w:rsidR="00CD492D" w:rsidRPr="00CD492D" w:rsidTr="007539A3">
        <w:trPr>
          <w:trHeight w:val="1194"/>
          <w:tblCellSpacing w:w="15" w:type="dxa"/>
        </w:trPr>
        <w:tc>
          <w:tcPr>
            <w:tcW w:w="2268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F01. Rekomendacja </w:t>
            </w:r>
            <w:r w:rsid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</w:t>
            </w: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Szpitala</w:t>
            </w:r>
          </w:p>
        </w:tc>
        <w:tc>
          <w:tcPr>
            <w:tcW w:w="1701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23,41%</w:t>
            </w:r>
          </w:p>
        </w:tc>
        <w:tc>
          <w:tcPr>
            <w:tcW w:w="5322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Analiza doświadczeń</w:t>
            </w:r>
            <w:r w:rsidRP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: Prawie co czwarty pacjent nie poleciłby szpitala. Wymagana jest głęboka analiza przyczyn negatywnych opinii, które są wypadkową problemów logistycznych i relacyjnych.</w:t>
            </w:r>
          </w:p>
        </w:tc>
      </w:tr>
      <w:tr w:rsidR="00CD492D" w:rsidRPr="00CD492D" w:rsidTr="007539A3">
        <w:trPr>
          <w:trHeight w:val="1340"/>
          <w:tblCellSpacing w:w="15" w:type="dxa"/>
        </w:trPr>
        <w:tc>
          <w:tcPr>
            <w:tcW w:w="2268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B02. Opieka/ </w:t>
            </w:r>
            <w:r w:rsid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</w:t>
            </w: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Zaangażowanie </w:t>
            </w:r>
            <w:r w:rsid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</w:t>
            </w: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personelu</w:t>
            </w:r>
          </w:p>
        </w:tc>
        <w:tc>
          <w:tcPr>
            <w:tcW w:w="1701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22,25%</w:t>
            </w:r>
          </w:p>
        </w:tc>
        <w:tc>
          <w:tcPr>
            <w:tcW w:w="5322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Standardy opieki</w:t>
            </w:r>
            <w:r w:rsidRP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: Wysoki wskaźnik negatywny sugeruje nierówną jakość opieki. Należy zidentyfikować jednostki o najniższych wynikach</w:t>
            </w:r>
            <w:r w:rsid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i wdrożyć programy naprawcze oraz wsparcie kadrowe.</w:t>
            </w:r>
          </w:p>
        </w:tc>
      </w:tr>
      <w:tr w:rsidR="00CD492D" w:rsidRPr="00CD492D" w:rsidTr="007539A3">
        <w:trPr>
          <w:trHeight w:val="367"/>
          <w:tblCellSpacing w:w="15" w:type="dxa"/>
        </w:trPr>
        <w:tc>
          <w:tcPr>
            <w:tcW w:w="2268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B01. Uwzględnianie </w:t>
            </w:r>
            <w:r w:rsid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</w:t>
            </w: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zdania Pacjenta</w:t>
            </w:r>
          </w:p>
        </w:tc>
        <w:tc>
          <w:tcPr>
            <w:tcW w:w="1701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22,24%</w:t>
            </w:r>
          </w:p>
        </w:tc>
        <w:tc>
          <w:tcPr>
            <w:tcW w:w="5322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Wzmacnianie podmiotowości</w:t>
            </w:r>
            <w:r w:rsidRP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: Co piąty pacjent czuje się pominięty w decyzjach. Niezbędne są szkolenia</w:t>
            </w:r>
            <w:r w:rsid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z komunikacji nastawionej na</w:t>
            </w:r>
            <w:r w:rsid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 xml:space="preserve"> pacjenta.</w:t>
            </w:r>
          </w:p>
        </w:tc>
      </w:tr>
      <w:tr w:rsidR="00CD492D" w:rsidRPr="00CD492D" w:rsidTr="007539A3">
        <w:trPr>
          <w:trHeight w:val="1182"/>
          <w:tblCellSpacing w:w="15" w:type="dxa"/>
        </w:trPr>
        <w:tc>
          <w:tcPr>
            <w:tcW w:w="2268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C01. Zrozumiałość </w:t>
            </w:r>
            <w:r w:rsid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informacji</w:t>
            </w:r>
            <w:r w:rsid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o zdrowiu</w:t>
            </w:r>
          </w:p>
        </w:tc>
        <w:tc>
          <w:tcPr>
            <w:tcW w:w="1701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21,36%</w:t>
            </w:r>
          </w:p>
        </w:tc>
        <w:tc>
          <w:tcPr>
            <w:tcW w:w="5322" w:type="dxa"/>
            <w:vAlign w:val="center"/>
            <w:hideMark/>
          </w:tcPr>
          <w:p w:rsidR="00CD492D" w:rsidRPr="007539A3" w:rsidRDefault="00CD492D" w:rsidP="007539A3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7539A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Poprawa komunikacji bieżącej</w:t>
            </w:r>
            <w:r w:rsidRP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: Personel nie zawsze skutecznie przekazuje informacje w trakcie leczenia. Wymagana sta</w:t>
            </w:r>
            <w:r w:rsid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ndaryzacja sposobu informowania</w:t>
            </w:r>
            <w:r w:rsid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7539A3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o stanie zdrowia.</w:t>
            </w:r>
          </w:p>
        </w:tc>
      </w:tr>
    </w:tbl>
    <w:p w:rsidR="00555C52" w:rsidRDefault="00555C52" w:rsidP="00555C52">
      <w:pPr>
        <w:spacing w:before="240" w:after="120" w:line="240" w:lineRule="auto"/>
        <w:jc w:val="center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555C52" w:rsidRDefault="00555C52" w:rsidP="00555C52">
      <w:pPr>
        <w:spacing w:before="240" w:after="120" w:line="240" w:lineRule="auto"/>
        <w:jc w:val="center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555C52">
        <w:rPr>
          <w:rFonts w:ascii="Century Gothic" w:eastAsia="Times New Roman" w:hAnsi="Century Gothic" w:cs="Times New Roman"/>
          <w:b/>
          <w:bCs/>
          <w:lang w:eastAsia="pl-PL"/>
        </w:rPr>
        <w:drawing>
          <wp:inline distT="0" distB="0" distL="0" distR="0">
            <wp:extent cx="5037026" cy="2160000"/>
            <wp:effectExtent l="19050" t="0" r="11224" b="0"/>
            <wp:docPr id="12" name="Wykres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555C52" w:rsidRDefault="00555C52" w:rsidP="00555C52">
      <w:pPr>
        <w:spacing w:before="240" w:after="120" w:line="240" w:lineRule="auto"/>
        <w:jc w:val="center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CD492D" w:rsidRPr="00CD492D" w:rsidRDefault="00CD492D" w:rsidP="00CD492D">
      <w:pPr>
        <w:spacing w:before="240" w:after="12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CD492D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 xml:space="preserve">B. </w:t>
      </w:r>
      <w:r w:rsidR="00666D35" w:rsidRPr="00666D35">
        <w:rPr>
          <w:rFonts w:ascii="Century Gothic" w:eastAsia="Times New Roman" w:hAnsi="Century Gothic" w:cs="Times New Roman"/>
          <w:b/>
          <w:bCs/>
          <w:smallCaps/>
          <w:lang w:eastAsia="pl-PL"/>
        </w:rPr>
        <w:t xml:space="preserve">Obszary </w:t>
      </w:r>
      <w:r w:rsidR="00666D35" w:rsidRPr="00666D35">
        <w:rPr>
          <w:rFonts w:ascii="Century Gothic" w:eastAsia="Times New Roman" w:hAnsi="Century Gothic" w:cs="Times New Roman"/>
          <w:b/>
          <w:bCs/>
          <w:caps/>
          <w:lang w:eastAsia="pl-PL"/>
        </w:rPr>
        <w:t>obojętne</w:t>
      </w:r>
      <w:r w:rsidR="00666D35" w:rsidRPr="00666D35">
        <w:rPr>
          <w:rFonts w:ascii="Century Gothic" w:eastAsia="Times New Roman" w:hAnsi="Century Gothic" w:cs="Times New Roman"/>
          <w:b/>
          <w:bCs/>
          <w:smallCaps/>
          <w:lang w:eastAsia="pl-PL"/>
        </w:rPr>
        <w:t xml:space="preserve"> (potencjał do poprawy)</w:t>
      </w:r>
    </w:p>
    <w:p w:rsidR="00CD492D" w:rsidRPr="00CD492D" w:rsidRDefault="00CD492D" w:rsidP="00666D35">
      <w:pPr>
        <w:spacing w:after="120"/>
        <w:jc w:val="both"/>
        <w:rPr>
          <w:rFonts w:ascii="Century Gothic" w:eastAsia="Times New Roman" w:hAnsi="Century Gothic" w:cs="Times New Roman"/>
          <w:lang w:eastAsia="pl-PL"/>
        </w:rPr>
      </w:pPr>
      <w:r w:rsidRPr="00CD492D">
        <w:rPr>
          <w:rFonts w:ascii="Century Gothic" w:eastAsia="Times New Roman" w:hAnsi="Century Gothic" w:cs="Times New Roman"/>
          <w:lang w:eastAsia="pl-PL"/>
        </w:rPr>
        <w:t>Obszary te charakteryzują się stosunkowo wysokim odsetek ocen neutralnych (7-8). Przesunięcie tych pacjentów do kategorii DOBREJ (9-10) znacząco poprawi ogólne wskaźniki.</w:t>
      </w:r>
    </w:p>
    <w:tbl>
      <w:tblPr>
        <w:tblW w:w="941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23"/>
        <w:gridCol w:w="1769"/>
        <w:gridCol w:w="5319"/>
      </w:tblGrid>
      <w:tr w:rsidR="00666D35" w:rsidRPr="00CD492D" w:rsidTr="00666D35">
        <w:trPr>
          <w:tblHeader/>
          <w:tblCellSpacing w:w="15" w:type="dxa"/>
        </w:trPr>
        <w:tc>
          <w:tcPr>
            <w:tcW w:w="2278" w:type="dxa"/>
            <w:shd w:val="clear" w:color="auto" w:fill="F2F2F2" w:themeFill="background1" w:themeFillShade="F2"/>
            <w:vAlign w:val="center"/>
            <w:hideMark/>
          </w:tcPr>
          <w:p w:rsidR="00666D35" w:rsidRPr="0042143A" w:rsidRDefault="00666D35" w:rsidP="009B00F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Aspekt</w:t>
            </w:r>
          </w:p>
        </w:tc>
        <w:tc>
          <w:tcPr>
            <w:tcW w:w="1739" w:type="dxa"/>
            <w:shd w:val="clear" w:color="auto" w:fill="F2F2F2" w:themeFill="background1" w:themeFillShade="F2"/>
            <w:vAlign w:val="center"/>
            <w:hideMark/>
          </w:tcPr>
          <w:p w:rsidR="00666D35" w:rsidRPr="00666D35" w:rsidRDefault="00666D35" w:rsidP="009B00F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sz w:val="20"/>
                <w:szCs w:val="20"/>
                <w:lang w:eastAsia="pl-PL"/>
              </w:rPr>
            </w:pPr>
            <w:r w:rsidRPr="00666D35">
              <w:rPr>
                <w:rFonts w:ascii="Century Gothic" w:eastAsia="Times New Roman" w:hAnsi="Century Gothic" w:cs="Times New Roman"/>
                <w:b/>
                <w:bCs/>
                <w:smallCaps/>
                <w:sz w:val="20"/>
                <w:szCs w:val="20"/>
                <w:lang w:eastAsia="pl-PL"/>
              </w:rPr>
              <w:t>Odsetek ocen 7-8</w:t>
            </w:r>
            <w:r w:rsidRPr="00666D35">
              <w:rPr>
                <w:rFonts w:ascii="Century Gothic" w:eastAsia="Times New Roman" w:hAnsi="Century Gothic" w:cs="Times New Roman"/>
                <w:b/>
                <w:bCs/>
                <w:smallCaps/>
                <w:sz w:val="20"/>
                <w:szCs w:val="20"/>
                <w:lang w:eastAsia="pl-PL"/>
              </w:rPr>
              <w:br/>
              <w:t>obszar OBOJĘTNY</w:t>
            </w:r>
          </w:p>
        </w:tc>
        <w:tc>
          <w:tcPr>
            <w:tcW w:w="5274" w:type="dxa"/>
            <w:shd w:val="clear" w:color="auto" w:fill="F2F2F2" w:themeFill="background1" w:themeFillShade="F2"/>
            <w:vAlign w:val="center"/>
            <w:hideMark/>
          </w:tcPr>
          <w:p w:rsidR="00666D35" w:rsidRPr="0042143A" w:rsidRDefault="00666D35" w:rsidP="009B00F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</w:pPr>
            <w:r w:rsidRPr="0042143A">
              <w:rPr>
                <w:rFonts w:ascii="Century Gothic" w:eastAsia="Times New Roman" w:hAnsi="Century Gothic" w:cs="Times New Roman"/>
                <w:b/>
                <w:bCs/>
                <w:smallCaps/>
                <w:lang w:eastAsia="pl-PL"/>
              </w:rPr>
              <w:t>Kluczowe działanie</w:t>
            </w:r>
          </w:p>
        </w:tc>
      </w:tr>
      <w:tr w:rsidR="00CD492D" w:rsidRPr="00CD492D" w:rsidTr="00666D35">
        <w:trPr>
          <w:trHeight w:val="877"/>
          <w:tblCellSpacing w:w="15" w:type="dxa"/>
        </w:trPr>
        <w:tc>
          <w:tcPr>
            <w:tcW w:w="2278" w:type="dxa"/>
            <w:vAlign w:val="center"/>
            <w:hideMark/>
          </w:tcPr>
          <w:p w:rsidR="00CD492D" w:rsidRPr="00666D35" w:rsidRDefault="00CD492D" w:rsidP="00666D3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66D3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D01. Wyżywienie</w:t>
            </w:r>
          </w:p>
        </w:tc>
        <w:tc>
          <w:tcPr>
            <w:tcW w:w="1739" w:type="dxa"/>
            <w:vAlign w:val="center"/>
            <w:hideMark/>
          </w:tcPr>
          <w:p w:rsidR="00CD492D" w:rsidRPr="00666D35" w:rsidRDefault="00CD492D" w:rsidP="00666D3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66D3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17,88%</w:t>
            </w:r>
          </w:p>
        </w:tc>
        <w:tc>
          <w:tcPr>
            <w:tcW w:w="5274" w:type="dxa"/>
            <w:vAlign w:val="center"/>
            <w:hideMark/>
          </w:tcPr>
          <w:p w:rsidR="00CD492D" w:rsidRPr="00666D35" w:rsidRDefault="00CD492D" w:rsidP="00666D35">
            <w:pPr>
              <w:spacing w:before="100" w:beforeAutospacing="1" w:after="100" w:afterAutospacing="1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66D3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Poprawa serwisu</w:t>
            </w:r>
            <w:r w:rsidRPr="00666D3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: Najwyższy wskaźnik obojętności. Nawet drobna poprawa smaku lub estetyki podania może przesunąć tę grupę do ocen pozytywnych.</w:t>
            </w:r>
          </w:p>
        </w:tc>
      </w:tr>
      <w:tr w:rsidR="00CD492D" w:rsidRPr="00CD492D" w:rsidTr="00666D35">
        <w:trPr>
          <w:trHeight w:val="919"/>
          <w:tblCellSpacing w:w="15" w:type="dxa"/>
        </w:trPr>
        <w:tc>
          <w:tcPr>
            <w:tcW w:w="2278" w:type="dxa"/>
            <w:vAlign w:val="center"/>
            <w:hideMark/>
          </w:tcPr>
          <w:p w:rsidR="00CD492D" w:rsidRPr="00666D35" w:rsidRDefault="00CD492D" w:rsidP="00666D3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66D3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D02. Czystość</w:t>
            </w:r>
          </w:p>
        </w:tc>
        <w:tc>
          <w:tcPr>
            <w:tcW w:w="1739" w:type="dxa"/>
            <w:vAlign w:val="center"/>
            <w:hideMark/>
          </w:tcPr>
          <w:p w:rsidR="00CD492D" w:rsidRPr="00666D35" w:rsidRDefault="00CD492D" w:rsidP="00666D3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66D3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10,57%</w:t>
            </w:r>
          </w:p>
        </w:tc>
        <w:tc>
          <w:tcPr>
            <w:tcW w:w="5274" w:type="dxa"/>
            <w:vAlign w:val="center"/>
            <w:hideMark/>
          </w:tcPr>
          <w:p w:rsidR="00CD492D" w:rsidRPr="00666D35" w:rsidRDefault="00CD492D" w:rsidP="00F236D0">
            <w:pPr>
              <w:spacing w:before="100" w:beforeAutospacing="1" w:after="100" w:afterAutospacing="1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66D3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Utrzymanie standardu</w:t>
            </w:r>
            <w:r w:rsidRPr="00666D3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: Mimo świetnych wyników,</w:t>
            </w:r>
            <w:r w:rsidR="00F236D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666D3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10% pacjentów pozostaje neutralnych. Należy utrzymać reżim sanitarny, by zapobiec spadkom jakości.</w:t>
            </w:r>
          </w:p>
        </w:tc>
      </w:tr>
      <w:tr w:rsidR="00CD492D" w:rsidRPr="00CD492D" w:rsidTr="00666D35">
        <w:trPr>
          <w:trHeight w:val="918"/>
          <w:tblCellSpacing w:w="15" w:type="dxa"/>
        </w:trPr>
        <w:tc>
          <w:tcPr>
            <w:tcW w:w="2278" w:type="dxa"/>
            <w:vAlign w:val="center"/>
            <w:hideMark/>
          </w:tcPr>
          <w:p w:rsidR="00CD492D" w:rsidRPr="00666D35" w:rsidRDefault="00CD492D" w:rsidP="00666D35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66D3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A01. Sprawność </w:t>
            </w:r>
            <w:r w:rsid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="00F236D0"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procesu </w:t>
            </w:r>
            <w:r w:rsidR="00F236D0"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przyjęcia </w:t>
            </w:r>
            <w:r w:rsidR="00F236D0"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do Szpitala</w:t>
            </w:r>
          </w:p>
        </w:tc>
        <w:tc>
          <w:tcPr>
            <w:tcW w:w="1739" w:type="dxa"/>
            <w:vAlign w:val="center"/>
            <w:hideMark/>
          </w:tcPr>
          <w:p w:rsidR="00CD492D" w:rsidRPr="00666D35" w:rsidRDefault="00CD492D" w:rsidP="00666D3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66D3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10,11%</w:t>
            </w:r>
          </w:p>
        </w:tc>
        <w:tc>
          <w:tcPr>
            <w:tcW w:w="5274" w:type="dxa"/>
            <w:vAlign w:val="center"/>
            <w:hideMark/>
          </w:tcPr>
          <w:p w:rsidR="00CD492D" w:rsidRPr="00666D35" w:rsidRDefault="00CD492D" w:rsidP="00666D35">
            <w:pPr>
              <w:spacing w:before="100" w:beforeAutospacing="1" w:after="100" w:afterAutospacing="1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666D35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Uproszczenie procedur</w:t>
            </w:r>
            <w:r w:rsidRPr="00666D35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: Część pacjentów ocenia przyjęcie jako poprawne, ale nie wzorowe. Skrócenie "ścieżki pacjenta" poprawi te notowania.</w:t>
            </w:r>
          </w:p>
        </w:tc>
      </w:tr>
    </w:tbl>
    <w:p w:rsidR="004D5B13" w:rsidRDefault="004D5B13" w:rsidP="004D5B13">
      <w:pPr>
        <w:spacing w:before="240" w:after="120" w:line="240" w:lineRule="auto"/>
        <w:jc w:val="center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4D5B13">
        <w:rPr>
          <w:rFonts w:ascii="Century Gothic" w:eastAsia="Times New Roman" w:hAnsi="Century Gothic" w:cs="Times New Roman"/>
          <w:b/>
          <w:bCs/>
          <w:lang w:eastAsia="pl-PL"/>
        </w:rPr>
        <w:drawing>
          <wp:inline distT="0" distB="0" distL="0" distR="0">
            <wp:extent cx="4320000" cy="2160000"/>
            <wp:effectExtent l="19050" t="0" r="23400" b="0"/>
            <wp:docPr id="13" name="Wykres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4D5B13" w:rsidRDefault="004D5B13" w:rsidP="00CD492D">
      <w:pPr>
        <w:spacing w:before="240" w:after="12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4D5B13" w:rsidRDefault="004D5B13" w:rsidP="00CD492D">
      <w:pPr>
        <w:spacing w:before="240" w:after="12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4D5B13" w:rsidRDefault="004D5B13" w:rsidP="00CD492D">
      <w:pPr>
        <w:spacing w:before="240" w:after="12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4D5B13" w:rsidRDefault="004D5B13" w:rsidP="00CD492D">
      <w:pPr>
        <w:spacing w:before="240" w:after="12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4D5B13" w:rsidRDefault="004D5B13" w:rsidP="00CD492D">
      <w:pPr>
        <w:spacing w:before="240" w:after="12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4D5B13" w:rsidRDefault="004D5B13" w:rsidP="00CD492D">
      <w:pPr>
        <w:spacing w:before="240" w:after="12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4D5B13" w:rsidRDefault="004D5B13" w:rsidP="00CD492D">
      <w:pPr>
        <w:spacing w:before="240" w:after="12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4D5B13" w:rsidRDefault="004D5B13" w:rsidP="00CD492D">
      <w:pPr>
        <w:spacing w:before="240" w:after="12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4D5B13" w:rsidRDefault="004D5B13" w:rsidP="00CD492D">
      <w:pPr>
        <w:spacing w:before="240" w:after="12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</w:p>
    <w:p w:rsidR="00CD492D" w:rsidRPr="00CD492D" w:rsidRDefault="00CD492D" w:rsidP="00CD492D">
      <w:pPr>
        <w:spacing w:before="240" w:after="120" w:line="240" w:lineRule="auto"/>
        <w:outlineLvl w:val="3"/>
        <w:rPr>
          <w:rFonts w:ascii="Century Gothic" w:eastAsia="Times New Roman" w:hAnsi="Century Gothic" w:cs="Times New Roman"/>
          <w:b/>
          <w:bCs/>
          <w:lang w:eastAsia="pl-PL"/>
        </w:rPr>
      </w:pPr>
      <w:r w:rsidRPr="00CD492D">
        <w:rPr>
          <w:rFonts w:ascii="Century Gothic" w:eastAsia="Times New Roman" w:hAnsi="Century Gothic" w:cs="Times New Roman"/>
          <w:b/>
          <w:bCs/>
          <w:lang w:eastAsia="pl-PL"/>
        </w:rPr>
        <w:lastRenderedPageBreak/>
        <w:t xml:space="preserve">C. </w:t>
      </w:r>
      <w:r w:rsidR="00F93760" w:rsidRPr="00F93760">
        <w:rPr>
          <w:rFonts w:ascii="Century Gothic" w:eastAsia="Times New Roman" w:hAnsi="Century Gothic" w:cs="Times New Roman"/>
          <w:b/>
          <w:bCs/>
          <w:smallCaps/>
          <w:lang w:eastAsia="pl-PL"/>
        </w:rPr>
        <w:t xml:space="preserve">Obszary </w:t>
      </w:r>
      <w:r w:rsidR="00F93760" w:rsidRPr="00F93760">
        <w:rPr>
          <w:rFonts w:ascii="Century Gothic" w:eastAsia="Times New Roman" w:hAnsi="Century Gothic" w:cs="Times New Roman"/>
          <w:b/>
          <w:bCs/>
          <w:caps/>
          <w:lang w:eastAsia="pl-PL"/>
        </w:rPr>
        <w:t xml:space="preserve">dobre </w:t>
      </w:r>
      <w:r w:rsidR="00F93760" w:rsidRPr="00F93760">
        <w:rPr>
          <w:rFonts w:ascii="Century Gothic" w:eastAsia="Times New Roman" w:hAnsi="Century Gothic" w:cs="Times New Roman"/>
          <w:b/>
          <w:bCs/>
          <w:smallCaps/>
          <w:lang w:eastAsia="pl-PL"/>
        </w:rPr>
        <w:t>(wzmacnianie)</w:t>
      </w:r>
    </w:p>
    <w:p w:rsidR="00CD492D" w:rsidRPr="00CD492D" w:rsidRDefault="00CD492D" w:rsidP="00CD492D">
      <w:pPr>
        <w:spacing w:after="120"/>
        <w:jc w:val="both"/>
        <w:rPr>
          <w:rFonts w:ascii="Century Gothic" w:eastAsia="Times New Roman" w:hAnsi="Century Gothic" w:cs="Times New Roman"/>
          <w:lang w:eastAsia="pl-PL"/>
        </w:rPr>
      </w:pPr>
      <w:r w:rsidRPr="00CD492D">
        <w:rPr>
          <w:rFonts w:ascii="Century Gothic" w:eastAsia="Times New Roman" w:hAnsi="Century Gothic" w:cs="Times New Roman"/>
          <w:lang w:eastAsia="pl-PL"/>
        </w:rPr>
        <w:t>Aspekty o najwyższym odsetku ocen 9-10 oraz niskim odsetku niezadowolenia, które należy promować jako najlepsze praktyki.</w:t>
      </w:r>
    </w:p>
    <w:tbl>
      <w:tblPr>
        <w:tblW w:w="941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23"/>
        <w:gridCol w:w="1843"/>
        <w:gridCol w:w="5245"/>
      </w:tblGrid>
      <w:tr w:rsidR="00F236D0" w:rsidRPr="00CD492D" w:rsidTr="00F236D0">
        <w:trPr>
          <w:tblHeader/>
          <w:tblCellSpacing w:w="15" w:type="dxa"/>
        </w:trPr>
        <w:tc>
          <w:tcPr>
            <w:tcW w:w="2278" w:type="dxa"/>
            <w:shd w:val="clear" w:color="auto" w:fill="F2F2F2" w:themeFill="background1" w:themeFillShade="F2"/>
            <w:vAlign w:val="center"/>
            <w:hideMark/>
          </w:tcPr>
          <w:p w:rsidR="00F236D0" w:rsidRPr="00B36EBC" w:rsidRDefault="00F236D0" w:rsidP="009B00F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sz w:val="24"/>
                <w:szCs w:val="24"/>
                <w:lang w:eastAsia="pl-PL"/>
              </w:rPr>
            </w:pPr>
            <w:r w:rsidRPr="00B36EBC">
              <w:rPr>
                <w:rFonts w:ascii="Century Gothic" w:eastAsia="Times New Roman" w:hAnsi="Century Gothic" w:cs="Times New Roman"/>
                <w:b/>
                <w:bCs/>
                <w:smallCaps/>
                <w:sz w:val="24"/>
                <w:szCs w:val="24"/>
                <w:lang w:eastAsia="pl-PL"/>
              </w:rPr>
              <w:t>Aspekt</w:t>
            </w:r>
          </w:p>
        </w:tc>
        <w:tc>
          <w:tcPr>
            <w:tcW w:w="1813" w:type="dxa"/>
            <w:shd w:val="clear" w:color="auto" w:fill="F2F2F2" w:themeFill="background1" w:themeFillShade="F2"/>
            <w:vAlign w:val="center"/>
            <w:hideMark/>
          </w:tcPr>
          <w:p w:rsidR="00F236D0" w:rsidRPr="00F236D0" w:rsidRDefault="00F236D0" w:rsidP="009B00F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sz w:val="20"/>
                <w:szCs w:val="20"/>
                <w:lang w:eastAsia="pl-PL"/>
              </w:rPr>
            </w:pPr>
            <w:r w:rsidRPr="00F236D0">
              <w:rPr>
                <w:rFonts w:ascii="Century Gothic" w:eastAsia="Times New Roman" w:hAnsi="Century Gothic" w:cs="Times New Roman"/>
                <w:b/>
                <w:bCs/>
                <w:smallCaps/>
                <w:sz w:val="20"/>
                <w:szCs w:val="20"/>
                <w:lang w:eastAsia="pl-PL"/>
              </w:rPr>
              <w:t xml:space="preserve">Odsetek ocen 9-10 </w:t>
            </w:r>
            <w:r w:rsidRPr="00F236D0">
              <w:rPr>
                <w:rFonts w:ascii="Century Gothic" w:eastAsia="Times New Roman" w:hAnsi="Century Gothic" w:cs="Times New Roman"/>
                <w:b/>
                <w:bCs/>
                <w:caps/>
                <w:sz w:val="20"/>
                <w:szCs w:val="20"/>
                <w:lang w:eastAsia="pl-PL"/>
              </w:rPr>
              <w:t>obszar dobry</w:t>
            </w:r>
          </w:p>
        </w:tc>
        <w:tc>
          <w:tcPr>
            <w:tcW w:w="5200" w:type="dxa"/>
            <w:shd w:val="clear" w:color="auto" w:fill="F2F2F2" w:themeFill="background1" w:themeFillShade="F2"/>
            <w:vAlign w:val="center"/>
            <w:hideMark/>
          </w:tcPr>
          <w:p w:rsidR="00F236D0" w:rsidRPr="00B36EBC" w:rsidRDefault="00F236D0" w:rsidP="009B00F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smallCaps/>
                <w:sz w:val="24"/>
                <w:szCs w:val="24"/>
                <w:lang w:eastAsia="pl-PL"/>
              </w:rPr>
            </w:pPr>
            <w:r w:rsidRPr="00B36EBC">
              <w:rPr>
                <w:rFonts w:ascii="Century Gothic" w:eastAsia="Times New Roman" w:hAnsi="Century Gothic" w:cs="Times New Roman"/>
                <w:b/>
                <w:bCs/>
                <w:smallCaps/>
                <w:sz w:val="24"/>
                <w:szCs w:val="24"/>
                <w:lang w:eastAsia="pl-PL"/>
              </w:rPr>
              <w:t>Kluczowe działanie</w:t>
            </w:r>
          </w:p>
        </w:tc>
      </w:tr>
      <w:tr w:rsidR="00CD492D" w:rsidRPr="00CD492D" w:rsidTr="00F236D0">
        <w:trPr>
          <w:trHeight w:val="921"/>
          <w:tblCellSpacing w:w="15" w:type="dxa"/>
        </w:trPr>
        <w:tc>
          <w:tcPr>
            <w:tcW w:w="2278" w:type="dxa"/>
            <w:vAlign w:val="center"/>
            <w:hideMark/>
          </w:tcPr>
          <w:p w:rsidR="00CD492D" w:rsidRPr="00F236D0" w:rsidRDefault="00CD492D" w:rsidP="00F236D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D02. Czystość</w:t>
            </w:r>
          </w:p>
        </w:tc>
        <w:tc>
          <w:tcPr>
            <w:tcW w:w="1813" w:type="dxa"/>
            <w:vAlign w:val="center"/>
            <w:hideMark/>
          </w:tcPr>
          <w:p w:rsidR="00CD492D" w:rsidRPr="00F236D0" w:rsidRDefault="00CD492D" w:rsidP="00F236D0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76,66%</w:t>
            </w:r>
          </w:p>
        </w:tc>
        <w:tc>
          <w:tcPr>
            <w:tcW w:w="5200" w:type="dxa"/>
            <w:vAlign w:val="center"/>
            <w:hideMark/>
          </w:tcPr>
          <w:p w:rsidR="00CD492D" w:rsidRPr="00F236D0" w:rsidRDefault="00CD492D" w:rsidP="00F236D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Lider jakości</w:t>
            </w:r>
            <w:r w:rsidRPr="00F236D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: Najlepiej oceniany aspekt (wzrost</w:t>
            </w:r>
            <w:r w:rsidR="00F236D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F236D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z 75,43%). Wzorzec do naśladowania dla innych obszarów wsparcia.</w:t>
            </w:r>
          </w:p>
        </w:tc>
      </w:tr>
      <w:tr w:rsidR="00CD492D" w:rsidRPr="00CD492D" w:rsidTr="00F236D0">
        <w:trPr>
          <w:trHeight w:val="921"/>
          <w:tblCellSpacing w:w="15" w:type="dxa"/>
        </w:trPr>
        <w:tc>
          <w:tcPr>
            <w:tcW w:w="2278" w:type="dxa"/>
            <w:vAlign w:val="center"/>
            <w:hideMark/>
          </w:tcPr>
          <w:p w:rsidR="00CD492D" w:rsidRPr="00F236D0" w:rsidRDefault="00CD492D" w:rsidP="00F236D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C02. </w:t>
            </w:r>
            <w:r w:rsidR="00F236D0"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Zrozumiałość </w:t>
            </w:r>
            <w:r w:rsid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 </w:t>
            </w:r>
            <w:r w:rsidR="00F236D0" w:rsidRPr="0042143A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zaleceń</w:t>
            </w:r>
          </w:p>
        </w:tc>
        <w:tc>
          <w:tcPr>
            <w:tcW w:w="1813" w:type="dxa"/>
            <w:vAlign w:val="center"/>
            <w:hideMark/>
          </w:tcPr>
          <w:p w:rsidR="00CD492D" w:rsidRPr="00F236D0" w:rsidRDefault="00CD492D" w:rsidP="00F236D0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73,22%</w:t>
            </w:r>
          </w:p>
        </w:tc>
        <w:tc>
          <w:tcPr>
            <w:tcW w:w="5200" w:type="dxa"/>
            <w:vAlign w:val="center"/>
            <w:hideMark/>
          </w:tcPr>
          <w:p w:rsidR="00CD492D" w:rsidRPr="00F236D0" w:rsidRDefault="00CD492D" w:rsidP="00F236D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Skuteczny model</w:t>
            </w:r>
            <w:r w:rsidRPr="00F236D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: Najwyżej oceniany aspekt komunikacji medycznej. Należy kontynuować obecne standardy wydawania zaleceń.</w:t>
            </w:r>
          </w:p>
        </w:tc>
      </w:tr>
      <w:tr w:rsidR="00CD492D" w:rsidRPr="00CD492D" w:rsidTr="00F236D0">
        <w:trPr>
          <w:trHeight w:val="892"/>
          <w:tblCellSpacing w:w="15" w:type="dxa"/>
        </w:trPr>
        <w:tc>
          <w:tcPr>
            <w:tcW w:w="2278" w:type="dxa"/>
            <w:vAlign w:val="center"/>
            <w:hideMark/>
          </w:tcPr>
          <w:p w:rsidR="00CD492D" w:rsidRPr="00F236D0" w:rsidRDefault="00CD492D" w:rsidP="00F236D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 xml:space="preserve">E01. Respektowanie </w:t>
            </w:r>
            <w:r w:rsidR="00383903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br/>
              <w:t xml:space="preserve">        </w:t>
            </w:r>
            <w:r w:rsidRP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Praw Pacjenta</w:t>
            </w:r>
          </w:p>
        </w:tc>
        <w:tc>
          <w:tcPr>
            <w:tcW w:w="1813" w:type="dxa"/>
            <w:vAlign w:val="center"/>
            <w:hideMark/>
          </w:tcPr>
          <w:p w:rsidR="00CD492D" w:rsidRPr="00F236D0" w:rsidRDefault="00CD492D" w:rsidP="00F236D0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71,95%</w:t>
            </w:r>
          </w:p>
        </w:tc>
        <w:tc>
          <w:tcPr>
            <w:tcW w:w="5200" w:type="dxa"/>
            <w:vAlign w:val="center"/>
            <w:hideMark/>
          </w:tcPr>
          <w:p w:rsidR="00CD492D" w:rsidRPr="00F236D0" w:rsidRDefault="00CD492D" w:rsidP="00F236D0">
            <w:pPr>
              <w:spacing w:after="0" w:line="240" w:lineRule="auto"/>
              <w:ind w:left="57"/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</w:pPr>
            <w:r w:rsidRPr="00F236D0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l-PL"/>
              </w:rPr>
              <w:t>Etyka pracy</w:t>
            </w:r>
            <w:r w:rsidRPr="00F236D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: Stały wysoki poziom (ponad 71%). Należy promować te postawy, by niwelować</w:t>
            </w:r>
            <w:r w:rsidR="00F236D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br/>
            </w:r>
            <w:r w:rsidRPr="00F236D0">
              <w:rPr>
                <w:rFonts w:ascii="Century Gothic" w:eastAsia="Times New Roman" w:hAnsi="Century Gothic" w:cs="Times New Roman"/>
                <w:sz w:val="20"/>
                <w:szCs w:val="20"/>
                <w:lang w:eastAsia="pl-PL"/>
              </w:rPr>
              <w:t>20-procentową grupę niezadowolonych.</w:t>
            </w:r>
          </w:p>
        </w:tc>
      </w:tr>
    </w:tbl>
    <w:p w:rsidR="00CD492D" w:rsidRDefault="00CD492D" w:rsidP="00CD49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D5B13" w:rsidRPr="00CD492D" w:rsidRDefault="004D5B13" w:rsidP="004D5B13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D5B13">
        <w:rPr>
          <w:rFonts w:ascii="Times New Roman" w:eastAsia="Times New Roman" w:hAnsi="Times New Roman" w:cs="Times New Roman"/>
          <w:sz w:val="24"/>
          <w:szCs w:val="24"/>
          <w:lang w:eastAsia="pl-PL"/>
        </w:rPr>
        <w:drawing>
          <wp:inline distT="0" distB="0" distL="0" distR="0">
            <wp:extent cx="4320000" cy="2160000"/>
            <wp:effectExtent l="19050" t="0" r="23400" b="0"/>
            <wp:docPr id="14" name="Wykres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4D5B13" w:rsidRDefault="004D5B13" w:rsidP="00CD492D">
      <w:pPr>
        <w:spacing w:before="240" w:after="120"/>
        <w:jc w:val="both"/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</w:pPr>
    </w:p>
    <w:p w:rsidR="004D5B13" w:rsidRDefault="004D5B13" w:rsidP="00CD492D">
      <w:pPr>
        <w:spacing w:before="240" w:after="120"/>
        <w:jc w:val="both"/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</w:pPr>
    </w:p>
    <w:p w:rsidR="004D5B13" w:rsidRDefault="004D5B13" w:rsidP="00CD492D">
      <w:pPr>
        <w:spacing w:before="240" w:after="120"/>
        <w:jc w:val="both"/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</w:pPr>
    </w:p>
    <w:p w:rsidR="004D5B13" w:rsidRDefault="004D5B13" w:rsidP="00CD492D">
      <w:pPr>
        <w:spacing w:before="240" w:after="120"/>
        <w:jc w:val="both"/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</w:pPr>
    </w:p>
    <w:p w:rsidR="004D5B13" w:rsidRDefault="004D5B13" w:rsidP="00CD492D">
      <w:pPr>
        <w:spacing w:before="240" w:after="120"/>
        <w:jc w:val="both"/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</w:pPr>
    </w:p>
    <w:p w:rsidR="004D5B13" w:rsidRDefault="004D5B13" w:rsidP="00CD492D">
      <w:pPr>
        <w:spacing w:before="240" w:after="120"/>
        <w:jc w:val="both"/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</w:pPr>
    </w:p>
    <w:p w:rsidR="004D5B13" w:rsidRDefault="004D5B13" w:rsidP="00CD492D">
      <w:pPr>
        <w:spacing w:before="240" w:after="120"/>
        <w:jc w:val="both"/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</w:pPr>
    </w:p>
    <w:p w:rsidR="004D5B13" w:rsidRDefault="004D5B13" w:rsidP="00CD492D">
      <w:pPr>
        <w:spacing w:before="240" w:after="120"/>
        <w:jc w:val="both"/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</w:pPr>
    </w:p>
    <w:p w:rsidR="00CD492D" w:rsidRPr="00CD492D" w:rsidRDefault="00CD492D" w:rsidP="00CD492D">
      <w:pPr>
        <w:spacing w:before="240" w:after="120"/>
        <w:jc w:val="both"/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</w:pPr>
      <w:r w:rsidRPr="00CD492D"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  <w:lastRenderedPageBreak/>
        <w:t xml:space="preserve">IV. </w:t>
      </w:r>
      <w:r w:rsidRPr="00CD492D">
        <w:rPr>
          <w:rFonts w:ascii="Century Gothic" w:eastAsia="Times New Roman" w:hAnsi="Century Gothic" w:cs="Times New Roman"/>
          <w:b/>
          <w:smallCaps/>
          <w:sz w:val="24"/>
          <w:szCs w:val="24"/>
          <w:lang w:eastAsia="pl-PL"/>
        </w:rPr>
        <w:t xml:space="preserve">Wnioski systemowe i priorytety </w:t>
      </w:r>
      <w:proofErr w:type="spellStart"/>
      <w:r w:rsidRPr="00CD492D">
        <w:rPr>
          <w:rFonts w:ascii="Century Gothic" w:eastAsia="Times New Roman" w:hAnsi="Century Gothic" w:cs="Times New Roman"/>
          <w:b/>
          <w:smallCaps/>
          <w:sz w:val="24"/>
          <w:szCs w:val="24"/>
          <w:lang w:eastAsia="pl-PL"/>
        </w:rPr>
        <w:t>ogólnoszpitalne</w:t>
      </w:r>
      <w:proofErr w:type="spellEnd"/>
    </w:p>
    <w:p w:rsidR="00CD492D" w:rsidRPr="00D657BA" w:rsidRDefault="00CD492D" w:rsidP="00D657BA">
      <w:pPr>
        <w:spacing w:after="0"/>
        <w:jc w:val="both"/>
        <w:rPr>
          <w:rFonts w:ascii="Century Gothic" w:eastAsia="Times New Roman" w:hAnsi="Century Gothic" w:cs="Times New Roman"/>
          <w:lang w:eastAsia="pl-PL"/>
        </w:rPr>
      </w:pPr>
      <w:r w:rsidRPr="00D657BA">
        <w:rPr>
          <w:rFonts w:ascii="Century Gothic" w:eastAsia="Times New Roman" w:hAnsi="Century Gothic" w:cs="Times New Roman"/>
          <w:lang w:eastAsia="pl-PL"/>
        </w:rPr>
        <w:t>Na podstawie analizy danych za rok 2025 sformułowano następujące priorytety dla Szpitala Uniwersyteckiego nr 2:</w:t>
      </w:r>
    </w:p>
    <w:p w:rsidR="00D657BA" w:rsidRPr="00D657BA" w:rsidRDefault="00D657BA" w:rsidP="00D657BA">
      <w:pPr>
        <w:pStyle w:val="NormalnyWeb"/>
        <w:numPr>
          <w:ilvl w:val="0"/>
          <w:numId w:val="7"/>
        </w:numPr>
        <w:spacing w:before="0" w:beforeAutospacing="0" w:after="80" w:afterAutospacing="0" w:line="276" w:lineRule="auto"/>
        <w:ind w:left="357" w:hanging="357"/>
        <w:jc w:val="both"/>
        <w:rPr>
          <w:rFonts w:ascii="Century Gothic" w:hAnsi="Century Gothic"/>
          <w:sz w:val="22"/>
          <w:szCs w:val="22"/>
        </w:rPr>
      </w:pPr>
      <w:r w:rsidRPr="00D657BA">
        <w:rPr>
          <w:rFonts w:ascii="Century Gothic" w:hAnsi="Century Gothic"/>
          <w:b/>
          <w:bCs/>
          <w:sz w:val="22"/>
          <w:szCs w:val="22"/>
        </w:rPr>
        <w:t>Krytyczny punkt styku – Reorganizacja przyjęć (A01):</w:t>
      </w:r>
      <w:r w:rsidRPr="00D657BA">
        <w:rPr>
          <w:rFonts w:ascii="Century Gothic" w:hAnsi="Century Gothic"/>
          <w:sz w:val="22"/>
          <w:szCs w:val="22"/>
        </w:rPr>
        <w:t xml:space="preserve"> </w:t>
      </w:r>
      <w:r w:rsidRPr="00D657BA">
        <w:rPr>
          <w:rStyle w:val="citation-446"/>
          <w:rFonts w:ascii="Century Gothic" w:hAnsi="Century Gothic"/>
          <w:sz w:val="22"/>
          <w:szCs w:val="22"/>
        </w:rPr>
        <w:t>W 2025 roku sprawność procesu przyjęcia stała się najbardziej problematycznym obszarem, generując 24,07% ocen negatywnych i wyprzedzając pod tym względem wyżywienie, które było liderem negatywnych ocen w roku poprzednim</w:t>
      </w:r>
      <w:r w:rsidRPr="00D657BA">
        <w:rPr>
          <w:rFonts w:ascii="Century Gothic" w:hAnsi="Century Gothic"/>
          <w:sz w:val="22"/>
          <w:szCs w:val="22"/>
        </w:rPr>
        <w:t xml:space="preserve">. </w:t>
      </w:r>
      <w:r w:rsidRPr="00D657BA">
        <w:rPr>
          <w:rStyle w:val="citation-445"/>
          <w:rFonts w:ascii="Century Gothic" w:hAnsi="Century Gothic"/>
          <w:sz w:val="22"/>
          <w:szCs w:val="22"/>
        </w:rPr>
        <w:t>Wskazuje to na konieczność natychmiastowej analizy procesowej „ścieżki pacjenta” od wejścia do placówki oraz reorganizacji pracy SOR i Izb Przyjęć, co staje się kluczowym priorytetem operacyjnym i inwestycyjnym</w:t>
      </w:r>
      <w:r w:rsidRPr="00D657BA">
        <w:rPr>
          <w:rFonts w:ascii="Century Gothic" w:hAnsi="Century Gothic"/>
          <w:sz w:val="22"/>
          <w:szCs w:val="22"/>
        </w:rPr>
        <w:t>.</w:t>
      </w:r>
    </w:p>
    <w:p w:rsidR="00D657BA" w:rsidRPr="00D657BA" w:rsidRDefault="00D657BA" w:rsidP="00D657BA">
      <w:pPr>
        <w:pStyle w:val="NormalnyWeb"/>
        <w:numPr>
          <w:ilvl w:val="0"/>
          <w:numId w:val="7"/>
        </w:numPr>
        <w:spacing w:before="0" w:beforeAutospacing="0" w:after="80" w:afterAutospacing="0" w:line="276" w:lineRule="auto"/>
        <w:ind w:left="357" w:hanging="357"/>
        <w:jc w:val="both"/>
        <w:rPr>
          <w:rFonts w:ascii="Century Gothic" w:hAnsi="Century Gothic"/>
          <w:sz w:val="22"/>
          <w:szCs w:val="22"/>
        </w:rPr>
      </w:pPr>
      <w:r w:rsidRPr="00D657BA">
        <w:rPr>
          <w:rFonts w:ascii="Century Gothic" w:hAnsi="Century Gothic"/>
          <w:b/>
          <w:bCs/>
          <w:sz w:val="22"/>
          <w:szCs w:val="22"/>
        </w:rPr>
        <w:t>Sukces w obszarze żywienia (D01):</w:t>
      </w:r>
      <w:r w:rsidRPr="00D657BA">
        <w:rPr>
          <w:rFonts w:ascii="Century Gothic" w:hAnsi="Century Gothic"/>
          <w:sz w:val="22"/>
          <w:szCs w:val="22"/>
        </w:rPr>
        <w:t xml:space="preserve"> </w:t>
      </w:r>
      <w:r w:rsidRPr="00D657BA">
        <w:rPr>
          <w:rStyle w:val="citation-444"/>
          <w:rFonts w:ascii="Century Gothic" w:hAnsi="Century Gothic"/>
          <w:sz w:val="22"/>
          <w:szCs w:val="22"/>
        </w:rPr>
        <w:t>Działania naprawcze podjęte po raporcie</w:t>
      </w:r>
      <w:r>
        <w:rPr>
          <w:rStyle w:val="citation-444"/>
          <w:rFonts w:ascii="Century Gothic" w:hAnsi="Century Gothic"/>
          <w:sz w:val="22"/>
          <w:szCs w:val="22"/>
        </w:rPr>
        <w:br/>
      </w:r>
      <w:r w:rsidRPr="00D657BA">
        <w:rPr>
          <w:rStyle w:val="citation-444"/>
          <w:rFonts w:ascii="Century Gothic" w:hAnsi="Century Gothic"/>
          <w:sz w:val="22"/>
          <w:szCs w:val="22"/>
        </w:rPr>
        <w:t>z 2024 roku przyniosły wymierne efekty</w:t>
      </w:r>
      <w:r w:rsidRPr="00D657BA">
        <w:rPr>
          <w:rFonts w:ascii="Century Gothic" w:hAnsi="Century Gothic"/>
          <w:sz w:val="22"/>
          <w:szCs w:val="22"/>
        </w:rPr>
        <w:t xml:space="preserve">. </w:t>
      </w:r>
      <w:r w:rsidRPr="00D657BA">
        <w:rPr>
          <w:rStyle w:val="citation-443"/>
          <w:rFonts w:ascii="Century Gothic" w:hAnsi="Century Gothic"/>
          <w:sz w:val="22"/>
          <w:szCs w:val="22"/>
        </w:rPr>
        <w:t>Odnotowano istotną poprawę</w:t>
      </w:r>
      <w:r>
        <w:rPr>
          <w:rStyle w:val="citation-443"/>
          <w:rFonts w:ascii="Century Gothic" w:hAnsi="Century Gothic"/>
          <w:sz w:val="22"/>
          <w:szCs w:val="22"/>
        </w:rPr>
        <w:br/>
      </w:r>
      <w:r w:rsidRPr="00D657BA">
        <w:rPr>
          <w:rStyle w:val="citation-443"/>
          <w:rFonts w:ascii="Century Gothic" w:hAnsi="Century Gothic"/>
          <w:sz w:val="22"/>
          <w:szCs w:val="22"/>
        </w:rPr>
        <w:t>w ocenach wyżywienia – spadek odsetka ocen negatywnych z poziomu 21,07% w 2024 roku do 18,58% w roku 2025</w:t>
      </w:r>
      <w:r w:rsidRPr="00D657BA">
        <w:rPr>
          <w:rFonts w:ascii="Century Gothic" w:hAnsi="Century Gothic"/>
          <w:sz w:val="22"/>
          <w:szCs w:val="22"/>
        </w:rPr>
        <w:t xml:space="preserve">. </w:t>
      </w:r>
      <w:r w:rsidRPr="00D657BA">
        <w:rPr>
          <w:rStyle w:val="citation-442"/>
          <w:rFonts w:ascii="Century Gothic" w:hAnsi="Century Gothic"/>
          <w:sz w:val="22"/>
          <w:szCs w:val="22"/>
        </w:rPr>
        <w:t>Należy kontynuować ten pozytywny trend, dążąc do dalszego przesunięcia pacjentów z grupy „obojętnej” do „dobrej”</w:t>
      </w:r>
      <w:r w:rsidRPr="00D657BA">
        <w:rPr>
          <w:rFonts w:ascii="Century Gothic" w:hAnsi="Century Gothic"/>
          <w:sz w:val="22"/>
          <w:szCs w:val="22"/>
        </w:rPr>
        <w:t>.</w:t>
      </w:r>
    </w:p>
    <w:p w:rsidR="00D657BA" w:rsidRPr="00D657BA" w:rsidRDefault="00D657BA" w:rsidP="00D657BA">
      <w:pPr>
        <w:pStyle w:val="NormalnyWeb"/>
        <w:numPr>
          <w:ilvl w:val="0"/>
          <w:numId w:val="7"/>
        </w:numPr>
        <w:spacing w:before="0" w:beforeAutospacing="0" w:after="80" w:afterAutospacing="0" w:line="276" w:lineRule="auto"/>
        <w:ind w:left="357" w:hanging="357"/>
        <w:jc w:val="both"/>
        <w:rPr>
          <w:rFonts w:ascii="Century Gothic" w:hAnsi="Century Gothic"/>
          <w:sz w:val="22"/>
          <w:szCs w:val="22"/>
        </w:rPr>
      </w:pPr>
      <w:r w:rsidRPr="00D657BA">
        <w:rPr>
          <w:rFonts w:ascii="Century Gothic" w:hAnsi="Century Gothic"/>
          <w:b/>
          <w:bCs/>
          <w:sz w:val="22"/>
          <w:szCs w:val="22"/>
        </w:rPr>
        <w:t>Luka relacyjna i komunikacyjna (B01, B02, C01):</w:t>
      </w:r>
      <w:r w:rsidRPr="00D657BA">
        <w:rPr>
          <w:rFonts w:ascii="Century Gothic" w:hAnsi="Century Gothic"/>
          <w:sz w:val="22"/>
          <w:szCs w:val="22"/>
        </w:rPr>
        <w:t xml:space="preserve"> Obszary dotyczące bezpośredniego kontaktu z personelem wykazują stały, niepokojący poziom niezadowolenia na poziomie ok. </w:t>
      </w:r>
      <w:r w:rsidRPr="00D657BA">
        <w:rPr>
          <w:rStyle w:val="citation-441"/>
          <w:rFonts w:ascii="Century Gothic" w:hAnsi="Century Gothic"/>
          <w:sz w:val="22"/>
          <w:szCs w:val="22"/>
        </w:rPr>
        <w:t>21–22%</w:t>
      </w:r>
      <w:r w:rsidRPr="00D657BA">
        <w:rPr>
          <w:rFonts w:ascii="Century Gothic" w:hAnsi="Century Gothic"/>
          <w:sz w:val="22"/>
          <w:szCs w:val="22"/>
        </w:rPr>
        <w:t xml:space="preserve">. </w:t>
      </w:r>
      <w:r w:rsidRPr="00D657BA">
        <w:rPr>
          <w:rStyle w:val="citation-440"/>
          <w:rFonts w:ascii="Century Gothic" w:hAnsi="Century Gothic"/>
          <w:sz w:val="22"/>
          <w:szCs w:val="22"/>
        </w:rPr>
        <w:t>Dotyczy to w szczególności uwzględniania zdania pacjenta (22,24%), zaangażowania personelu (22,25%) oraz zrozumiałości informacji o stanie zdrowia (21,36%)</w:t>
      </w:r>
      <w:r w:rsidRPr="00D657BA">
        <w:rPr>
          <w:rFonts w:ascii="Century Gothic" w:hAnsi="Century Gothic"/>
          <w:sz w:val="22"/>
          <w:szCs w:val="22"/>
        </w:rPr>
        <w:t xml:space="preserve">. </w:t>
      </w:r>
      <w:r w:rsidRPr="00D657BA">
        <w:rPr>
          <w:rStyle w:val="citation-439"/>
          <w:rFonts w:ascii="Century Gothic" w:hAnsi="Century Gothic"/>
          <w:sz w:val="22"/>
          <w:szCs w:val="22"/>
        </w:rPr>
        <w:t>Sugeruje to systemowy problem z komunikacją „przy łóżku pacjenta” oraz narastające zmęczenie kadr lub braki kadrowe, które bezpośrednio przekładają się na subiektywne poczucie braku zaangażowania w opiekę</w:t>
      </w:r>
      <w:r w:rsidRPr="00D657BA">
        <w:rPr>
          <w:rFonts w:ascii="Century Gothic" w:hAnsi="Century Gothic"/>
          <w:sz w:val="22"/>
          <w:szCs w:val="22"/>
        </w:rPr>
        <w:t>.</w:t>
      </w:r>
    </w:p>
    <w:p w:rsidR="00D657BA" w:rsidRPr="00D657BA" w:rsidRDefault="00D657BA" w:rsidP="00D657BA">
      <w:pPr>
        <w:pStyle w:val="NormalnyWeb"/>
        <w:numPr>
          <w:ilvl w:val="0"/>
          <w:numId w:val="7"/>
        </w:numPr>
        <w:spacing w:before="0" w:beforeAutospacing="0" w:after="80" w:afterAutospacing="0" w:line="276" w:lineRule="auto"/>
        <w:ind w:left="357" w:hanging="357"/>
        <w:jc w:val="both"/>
        <w:rPr>
          <w:rFonts w:ascii="Century Gothic" w:hAnsi="Century Gothic"/>
          <w:sz w:val="22"/>
          <w:szCs w:val="22"/>
        </w:rPr>
      </w:pPr>
      <w:r w:rsidRPr="00D657BA">
        <w:rPr>
          <w:rFonts w:ascii="Century Gothic" w:hAnsi="Century Gothic"/>
          <w:b/>
          <w:bCs/>
          <w:sz w:val="22"/>
          <w:szCs w:val="22"/>
        </w:rPr>
        <w:t>Czystość jako niezmienny fundament (D02):</w:t>
      </w:r>
      <w:r w:rsidRPr="00D657BA">
        <w:rPr>
          <w:rFonts w:ascii="Century Gothic" w:hAnsi="Century Gothic"/>
          <w:sz w:val="22"/>
          <w:szCs w:val="22"/>
        </w:rPr>
        <w:t xml:space="preserve"> </w:t>
      </w:r>
      <w:r w:rsidRPr="00D657BA">
        <w:rPr>
          <w:rStyle w:val="citation-438"/>
          <w:rFonts w:ascii="Century Gothic" w:hAnsi="Century Gothic"/>
          <w:sz w:val="22"/>
          <w:szCs w:val="22"/>
        </w:rPr>
        <w:t>Czystość sal i korytarzy po</w:t>
      </w:r>
      <w:r w:rsidR="00E165ED">
        <w:rPr>
          <w:rStyle w:val="citation-438"/>
          <w:rFonts w:ascii="Century Gothic" w:hAnsi="Century Gothic"/>
          <w:sz w:val="22"/>
          <w:szCs w:val="22"/>
        </w:rPr>
        <w:t>zostaje najmocniejszym ogniwem S</w:t>
      </w:r>
      <w:r w:rsidRPr="00D657BA">
        <w:rPr>
          <w:rStyle w:val="citation-438"/>
          <w:rFonts w:ascii="Century Gothic" w:hAnsi="Century Gothic"/>
          <w:sz w:val="22"/>
          <w:szCs w:val="22"/>
        </w:rPr>
        <w:t>zpitala, osiągając 76,66% ocen pozytywnych w 2025 roku (wzrost z 75,43% w 2024 r.)</w:t>
      </w:r>
      <w:r w:rsidRPr="00D657BA">
        <w:rPr>
          <w:rFonts w:ascii="Century Gothic" w:hAnsi="Century Gothic"/>
          <w:sz w:val="22"/>
          <w:szCs w:val="22"/>
        </w:rPr>
        <w:t xml:space="preserve">. </w:t>
      </w:r>
      <w:r w:rsidRPr="00D657BA">
        <w:rPr>
          <w:rStyle w:val="citation-437"/>
          <w:rFonts w:ascii="Century Gothic" w:hAnsi="Century Gothic"/>
          <w:sz w:val="22"/>
          <w:szCs w:val="22"/>
        </w:rPr>
        <w:t>Stabilna, wysoka pozycja tego wskaźnika buduje pozytywny obraz higieniczny placówki i stanowi fundament wizerunkowy, który należy chronić przed ewentualnymi cięciami kosztów</w:t>
      </w:r>
      <w:r w:rsidRPr="00D657BA">
        <w:rPr>
          <w:rFonts w:ascii="Century Gothic" w:hAnsi="Century Gothic"/>
          <w:sz w:val="22"/>
          <w:szCs w:val="22"/>
        </w:rPr>
        <w:t>.</w:t>
      </w:r>
    </w:p>
    <w:p w:rsidR="00D657BA" w:rsidRPr="00D657BA" w:rsidRDefault="00D657BA" w:rsidP="00D657BA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jc w:val="both"/>
        <w:rPr>
          <w:rFonts w:ascii="Century Gothic" w:hAnsi="Century Gothic"/>
          <w:sz w:val="22"/>
          <w:szCs w:val="22"/>
        </w:rPr>
      </w:pPr>
      <w:r w:rsidRPr="00D657BA">
        <w:rPr>
          <w:rFonts w:ascii="Century Gothic" w:hAnsi="Century Gothic"/>
          <w:b/>
          <w:bCs/>
          <w:sz w:val="22"/>
          <w:szCs w:val="22"/>
        </w:rPr>
        <w:t>Polaryzacja opinii i zagrożenie dla rekomendacji (F01):</w:t>
      </w:r>
      <w:r w:rsidRPr="00D657BA">
        <w:rPr>
          <w:rFonts w:ascii="Century Gothic" w:hAnsi="Century Gothic"/>
          <w:sz w:val="22"/>
          <w:szCs w:val="22"/>
        </w:rPr>
        <w:t xml:space="preserve"> </w:t>
      </w:r>
      <w:r w:rsidRPr="00D657BA">
        <w:rPr>
          <w:rStyle w:val="citation-436"/>
          <w:rFonts w:ascii="Century Gothic" w:hAnsi="Century Gothic"/>
          <w:sz w:val="22"/>
          <w:szCs w:val="22"/>
        </w:rPr>
        <w:t>Wyniki za 2025 rok ujawniają silną polaryza</w:t>
      </w:r>
      <w:r w:rsidR="00E165ED">
        <w:rPr>
          <w:rStyle w:val="citation-436"/>
          <w:rFonts w:ascii="Century Gothic" w:hAnsi="Century Gothic"/>
          <w:sz w:val="22"/>
          <w:szCs w:val="22"/>
        </w:rPr>
        <w:t>cję postaw – pacjenci oceniają S</w:t>
      </w:r>
      <w:r w:rsidRPr="00D657BA">
        <w:rPr>
          <w:rStyle w:val="citation-436"/>
          <w:rFonts w:ascii="Century Gothic" w:hAnsi="Century Gothic"/>
          <w:sz w:val="22"/>
          <w:szCs w:val="22"/>
        </w:rPr>
        <w:t>zpital albo bardzo dobrze (ponad 60% ocen „10”), albo bardzo źle</w:t>
      </w:r>
      <w:r w:rsidRPr="00D657BA">
        <w:rPr>
          <w:rFonts w:ascii="Century Gothic" w:hAnsi="Century Gothic"/>
          <w:sz w:val="22"/>
          <w:szCs w:val="22"/>
        </w:rPr>
        <w:t xml:space="preserve">. </w:t>
      </w:r>
      <w:r w:rsidRPr="00D657BA">
        <w:rPr>
          <w:rStyle w:val="citation-435"/>
          <w:rFonts w:ascii="Century Gothic" w:hAnsi="Century Gothic"/>
          <w:sz w:val="22"/>
          <w:szCs w:val="22"/>
        </w:rPr>
        <w:t>Wysoki poziom negatywnych odpowiedzi w pytaniu o prawdopodobieństwo polecenia placówki (23,41%) jest sygnałem ostrzegawczym</w:t>
      </w:r>
      <w:r w:rsidRPr="00D657BA">
        <w:rPr>
          <w:rFonts w:ascii="Century Gothic" w:hAnsi="Century Gothic"/>
          <w:sz w:val="22"/>
          <w:szCs w:val="22"/>
        </w:rPr>
        <w:t xml:space="preserve">. </w:t>
      </w:r>
      <w:r w:rsidRPr="00D657BA">
        <w:rPr>
          <w:rStyle w:val="citation-434"/>
          <w:rFonts w:ascii="Century Gothic" w:hAnsi="Century Gothic"/>
          <w:sz w:val="22"/>
          <w:szCs w:val="22"/>
        </w:rPr>
        <w:t>Zmniejszenie „obszaru złego” wymaga nie tylko poprawy ogólnych procedur, ale przede wszystkim wyeliminowania skrajnie negatywnych incydentów w opiece i komunikacji, które rzutują na ogólne zaufanie do placówki mimo sukcesów w innych aspektach</w:t>
      </w:r>
    </w:p>
    <w:p w:rsidR="004D5B13" w:rsidRDefault="004D5B13" w:rsidP="00D657BA">
      <w:pPr>
        <w:spacing w:before="240" w:after="120"/>
        <w:jc w:val="both"/>
        <w:outlineLvl w:val="2"/>
        <w:rPr>
          <w:rFonts w:ascii="Century Gothic" w:eastAsia="Times New Roman" w:hAnsi="Century Gothic" w:cs="Times New Roman"/>
          <w:b/>
          <w:bCs/>
          <w:sz w:val="24"/>
          <w:szCs w:val="24"/>
          <w:lang w:eastAsia="pl-PL"/>
        </w:rPr>
      </w:pPr>
    </w:p>
    <w:p w:rsidR="004D5B13" w:rsidRDefault="004D5B13" w:rsidP="00D657BA">
      <w:pPr>
        <w:spacing w:before="240" w:after="120"/>
        <w:jc w:val="both"/>
        <w:outlineLvl w:val="2"/>
        <w:rPr>
          <w:rFonts w:ascii="Century Gothic" w:eastAsia="Times New Roman" w:hAnsi="Century Gothic" w:cs="Times New Roman"/>
          <w:b/>
          <w:bCs/>
          <w:sz w:val="24"/>
          <w:szCs w:val="24"/>
          <w:lang w:eastAsia="pl-PL"/>
        </w:rPr>
      </w:pPr>
    </w:p>
    <w:p w:rsidR="004D5B13" w:rsidRDefault="004D5B13" w:rsidP="00D657BA">
      <w:pPr>
        <w:spacing w:before="240" w:after="120"/>
        <w:jc w:val="both"/>
        <w:outlineLvl w:val="2"/>
        <w:rPr>
          <w:rFonts w:ascii="Century Gothic" w:eastAsia="Times New Roman" w:hAnsi="Century Gothic" w:cs="Times New Roman"/>
          <w:b/>
          <w:bCs/>
          <w:sz w:val="24"/>
          <w:szCs w:val="24"/>
          <w:lang w:eastAsia="pl-PL"/>
        </w:rPr>
      </w:pPr>
    </w:p>
    <w:p w:rsidR="0080322A" w:rsidRPr="00F74933" w:rsidRDefault="00CD492D" w:rsidP="00D657BA">
      <w:pPr>
        <w:spacing w:before="240" w:after="120"/>
        <w:jc w:val="both"/>
        <w:outlineLvl w:val="2"/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</w:pPr>
      <w:r w:rsidRPr="00CD492D">
        <w:rPr>
          <w:rFonts w:ascii="Century Gothic" w:eastAsia="Times New Roman" w:hAnsi="Century Gothic" w:cs="Times New Roman"/>
          <w:b/>
          <w:bCs/>
          <w:sz w:val="24"/>
          <w:szCs w:val="24"/>
          <w:lang w:eastAsia="pl-PL"/>
        </w:rPr>
        <w:lastRenderedPageBreak/>
        <w:t>V.</w:t>
      </w:r>
      <w:r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  <w:t xml:space="preserve"> </w:t>
      </w:r>
      <w:r w:rsidRPr="00CD492D">
        <w:rPr>
          <w:rFonts w:ascii="Century Gothic" w:eastAsia="Times New Roman" w:hAnsi="Century Gothic" w:cs="Times New Roman"/>
          <w:b/>
          <w:bCs/>
          <w:smallCaps/>
          <w:sz w:val="24"/>
          <w:szCs w:val="24"/>
          <w:lang w:eastAsia="pl-PL"/>
        </w:rPr>
        <w:t>Charakterystyka grupy badawczej (metryczka)</w:t>
      </w:r>
    </w:p>
    <w:p w:rsidR="0080322A" w:rsidRPr="00F74933" w:rsidRDefault="0080322A" w:rsidP="00CD492D">
      <w:pPr>
        <w:numPr>
          <w:ilvl w:val="0"/>
          <w:numId w:val="3"/>
        </w:numPr>
        <w:spacing w:after="60"/>
        <w:ind w:left="714" w:hanging="357"/>
        <w:jc w:val="both"/>
        <w:rPr>
          <w:rFonts w:ascii="Century Gothic" w:eastAsia="Times New Roman" w:hAnsi="Century Gothic" w:cs="Times New Roman"/>
          <w:lang w:eastAsia="pl-PL"/>
        </w:rPr>
      </w:pPr>
      <w:r w:rsidRPr="00CD492D">
        <w:rPr>
          <w:rFonts w:ascii="Century Gothic" w:eastAsia="Times New Roman" w:hAnsi="Century Gothic" w:cs="Times New Roman"/>
          <w:b/>
          <w:bCs/>
          <w:lang w:eastAsia="pl-PL"/>
        </w:rPr>
        <w:t>Płeć</w:t>
      </w:r>
      <w:r w:rsidRPr="00CD492D">
        <w:rPr>
          <w:rFonts w:ascii="Century Gothic" w:eastAsia="Times New Roman" w:hAnsi="Century Gothic" w:cs="Times New Roman"/>
          <w:lang w:eastAsia="pl-PL"/>
        </w:rPr>
        <w:t>: Kobiety stanowią 63,65% ankietowanych, mężczyźni 36,35%</w:t>
      </w:r>
      <w:r w:rsidRPr="00F74933">
        <w:rPr>
          <w:rFonts w:ascii="Century Gothic" w:eastAsia="Times New Roman" w:hAnsi="Century Gothic" w:cs="Times New Roman"/>
          <w:lang w:eastAsia="pl-PL"/>
        </w:rPr>
        <w:t>.</w:t>
      </w:r>
    </w:p>
    <w:p w:rsidR="0080322A" w:rsidRPr="00F74933" w:rsidRDefault="0080322A" w:rsidP="00CD492D">
      <w:pPr>
        <w:numPr>
          <w:ilvl w:val="0"/>
          <w:numId w:val="3"/>
        </w:numPr>
        <w:spacing w:after="60"/>
        <w:ind w:left="714" w:hanging="357"/>
        <w:jc w:val="both"/>
        <w:rPr>
          <w:rFonts w:ascii="Century Gothic" w:eastAsia="Times New Roman" w:hAnsi="Century Gothic" w:cs="Times New Roman"/>
          <w:lang w:eastAsia="pl-PL"/>
        </w:rPr>
      </w:pPr>
      <w:r w:rsidRPr="00CD492D">
        <w:rPr>
          <w:rFonts w:ascii="Century Gothic" w:eastAsia="Times New Roman" w:hAnsi="Century Gothic" w:cs="Times New Roman"/>
          <w:b/>
          <w:bCs/>
          <w:lang w:eastAsia="pl-PL"/>
        </w:rPr>
        <w:t>Wiek</w:t>
      </w:r>
      <w:r w:rsidRPr="00CD492D">
        <w:rPr>
          <w:rFonts w:ascii="Century Gothic" w:eastAsia="Times New Roman" w:hAnsi="Century Gothic" w:cs="Times New Roman"/>
          <w:lang w:eastAsia="pl-PL"/>
        </w:rPr>
        <w:t xml:space="preserve">: Najliczniejszą grupę stanowią osoby </w:t>
      </w:r>
      <w:r w:rsidR="009B567A">
        <w:rPr>
          <w:rFonts w:ascii="Century Gothic" w:eastAsia="Times New Roman" w:hAnsi="Century Gothic" w:cs="Times New Roman"/>
          <w:lang w:eastAsia="pl-PL"/>
        </w:rPr>
        <w:t>w wieku 40-59 lat (35,85%) oraz</w:t>
      </w:r>
      <w:r w:rsidR="009B567A">
        <w:rPr>
          <w:rFonts w:ascii="Century Gothic" w:eastAsia="Times New Roman" w:hAnsi="Century Gothic" w:cs="Times New Roman"/>
          <w:lang w:eastAsia="pl-PL"/>
        </w:rPr>
        <w:br/>
      </w:r>
      <w:r w:rsidRPr="00CD492D">
        <w:rPr>
          <w:rFonts w:ascii="Century Gothic" w:eastAsia="Times New Roman" w:hAnsi="Century Gothic" w:cs="Times New Roman"/>
          <w:lang w:eastAsia="pl-PL"/>
        </w:rPr>
        <w:t>18-39 lat (33,18%)</w:t>
      </w:r>
      <w:r w:rsidRPr="00F74933">
        <w:rPr>
          <w:rFonts w:ascii="Century Gothic" w:eastAsia="Times New Roman" w:hAnsi="Century Gothic" w:cs="Times New Roman"/>
          <w:lang w:eastAsia="pl-PL"/>
        </w:rPr>
        <w:t>.</w:t>
      </w:r>
    </w:p>
    <w:p w:rsidR="00E165ED" w:rsidRDefault="00FD7944" w:rsidP="0080322A">
      <w:pPr>
        <w:numPr>
          <w:ilvl w:val="0"/>
          <w:numId w:val="3"/>
        </w:numPr>
        <w:spacing w:after="0"/>
        <w:jc w:val="both"/>
        <w:rPr>
          <w:rFonts w:ascii="Century Gothic" w:eastAsia="Times New Roman" w:hAnsi="Century Gothic" w:cs="Times New Roman"/>
          <w:lang w:eastAsia="pl-PL"/>
        </w:rPr>
      </w:pPr>
      <w:r>
        <w:rPr>
          <w:rFonts w:ascii="Century Gothic" w:eastAsia="Times New Roman" w:hAnsi="Century Gothic" w:cs="Times New Roman"/>
          <w:b/>
          <w:bCs/>
          <w:lang w:eastAsia="pl-PL"/>
        </w:rPr>
        <w:t>Głosy z klinik/</w:t>
      </w:r>
      <w:r w:rsidR="0080322A" w:rsidRPr="00CD492D">
        <w:rPr>
          <w:rFonts w:ascii="Century Gothic" w:eastAsia="Times New Roman" w:hAnsi="Century Gothic" w:cs="Times New Roman"/>
          <w:b/>
          <w:bCs/>
          <w:lang w:eastAsia="pl-PL"/>
        </w:rPr>
        <w:t>oddział</w:t>
      </w:r>
      <w:r>
        <w:rPr>
          <w:rFonts w:ascii="Century Gothic" w:eastAsia="Times New Roman" w:hAnsi="Century Gothic" w:cs="Times New Roman"/>
          <w:b/>
          <w:bCs/>
          <w:lang w:eastAsia="pl-PL"/>
        </w:rPr>
        <w:t>ów</w:t>
      </w:r>
      <w:r w:rsidR="0080322A" w:rsidRPr="00CD492D">
        <w:rPr>
          <w:rFonts w:ascii="Century Gothic" w:eastAsia="Times New Roman" w:hAnsi="Century Gothic" w:cs="Times New Roman"/>
          <w:lang w:eastAsia="pl-PL"/>
        </w:rPr>
        <w:t xml:space="preserve">: </w:t>
      </w:r>
    </w:p>
    <w:p w:rsidR="0080322A" w:rsidRDefault="0080322A" w:rsidP="00E165ED">
      <w:pPr>
        <w:numPr>
          <w:ilvl w:val="0"/>
          <w:numId w:val="12"/>
        </w:numPr>
        <w:spacing w:after="0"/>
        <w:jc w:val="both"/>
        <w:rPr>
          <w:rFonts w:ascii="Century Gothic" w:eastAsia="Times New Roman" w:hAnsi="Century Gothic" w:cs="Times New Roman"/>
          <w:lang w:eastAsia="pl-PL"/>
        </w:rPr>
      </w:pPr>
      <w:r w:rsidRPr="00CD492D">
        <w:rPr>
          <w:rFonts w:ascii="Century Gothic" w:eastAsia="Times New Roman" w:hAnsi="Century Gothic" w:cs="Times New Roman"/>
          <w:lang w:eastAsia="pl-PL"/>
        </w:rPr>
        <w:t>Najwięcej głosów oddali pacjenci Oddziału SOR (21,05%) oraz Kliniki Neurochirurgii (13,94%)</w:t>
      </w:r>
      <w:r w:rsidRPr="00F74933">
        <w:rPr>
          <w:rFonts w:ascii="Century Gothic" w:eastAsia="Times New Roman" w:hAnsi="Century Gothic" w:cs="Times New Roman"/>
          <w:lang w:eastAsia="pl-PL"/>
        </w:rPr>
        <w:t>.</w:t>
      </w:r>
      <w:r w:rsidR="00E165ED">
        <w:rPr>
          <w:rFonts w:ascii="Century Gothic" w:eastAsia="Times New Roman" w:hAnsi="Century Gothic" w:cs="Times New Roman"/>
          <w:lang w:eastAsia="pl-PL"/>
        </w:rPr>
        <w:t xml:space="preserve"> </w:t>
      </w:r>
    </w:p>
    <w:p w:rsidR="00E165ED" w:rsidRPr="00F74933" w:rsidRDefault="00E165ED" w:rsidP="00E165ED">
      <w:pPr>
        <w:numPr>
          <w:ilvl w:val="0"/>
          <w:numId w:val="12"/>
        </w:numPr>
        <w:spacing w:after="0"/>
        <w:jc w:val="both"/>
        <w:rPr>
          <w:rFonts w:ascii="Century Gothic" w:eastAsia="Times New Roman" w:hAnsi="Century Gothic" w:cs="Times New Roman"/>
          <w:lang w:eastAsia="pl-PL"/>
        </w:rPr>
      </w:pPr>
      <w:r w:rsidRPr="00E165ED">
        <w:rPr>
          <w:rFonts w:ascii="Century Gothic" w:eastAsia="Times New Roman" w:hAnsi="Century Gothic" w:cs="Times New Roman"/>
          <w:bCs/>
          <w:lang w:eastAsia="pl-PL"/>
        </w:rPr>
        <w:t>Kliniki/Oddziały z niską frekwencją</w:t>
      </w:r>
      <w:r w:rsidRPr="00E165ED">
        <w:rPr>
          <w:rFonts w:ascii="Century Gothic" w:eastAsia="Times New Roman" w:hAnsi="Century Gothic" w:cs="Times New Roman"/>
          <w:lang w:eastAsia="pl-PL"/>
        </w:rPr>
        <w:t>:</w:t>
      </w:r>
      <w:r>
        <w:rPr>
          <w:rFonts w:ascii="Century Gothic" w:eastAsia="Times New Roman" w:hAnsi="Century Gothic" w:cs="Times New Roman"/>
          <w:lang w:eastAsia="pl-PL"/>
        </w:rPr>
        <w:t xml:space="preserve"> Kl. Neonatologii (0,67%), Kl. Hematologii (1,47%) i O. Kl. Chorób Wewnętrznych (1,74%).</w:t>
      </w:r>
    </w:p>
    <w:p w:rsidR="0080322A" w:rsidRDefault="0080322A" w:rsidP="0080322A">
      <w:pPr>
        <w:spacing w:after="0"/>
        <w:jc w:val="both"/>
        <w:rPr>
          <w:rFonts w:ascii="Century Gothic" w:hAnsi="Century Gothic"/>
          <w:sz w:val="20"/>
          <w:szCs w:val="20"/>
        </w:rPr>
      </w:pPr>
    </w:p>
    <w:p w:rsidR="00D6731C" w:rsidRDefault="00D6731C" w:rsidP="0080322A">
      <w:pPr>
        <w:spacing w:after="0"/>
        <w:jc w:val="both"/>
        <w:rPr>
          <w:rFonts w:ascii="Century Gothic" w:hAnsi="Century Gothic"/>
          <w:sz w:val="20"/>
          <w:szCs w:val="20"/>
        </w:rPr>
      </w:pPr>
    </w:p>
    <w:p w:rsidR="00D6731C" w:rsidRDefault="00D6731C" w:rsidP="0080322A">
      <w:pPr>
        <w:spacing w:after="0"/>
        <w:jc w:val="both"/>
        <w:rPr>
          <w:rFonts w:ascii="Century Gothic" w:hAnsi="Century Gothic"/>
          <w:sz w:val="20"/>
          <w:szCs w:val="20"/>
        </w:rPr>
      </w:pPr>
    </w:p>
    <w:p w:rsidR="00D6731C" w:rsidRDefault="00D6731C" w:rsidP="0080322A">
      <w:pPr>
        <w:spacing w:after="0"/>
        <w:jc w:val="both"/>
        <w:rPr>
          <w:rFonts w:ascii="Century Gothic" w:hAnsi="Century Gothic"/>
          <w:sz w:val="20"/>
          <w:szCs w:val="20"/>
        </w:rPr>
      </w:pPr>
    </w:p>
    <w:p w:rsidR="00D6731C" w:rsidRDefault="00D6731C" w:rsidP="0080322A">
      <w:pPr>
        <w:spacing w:after="0"/>
        <w:jc w:val="both"/>
        <w:rPr>
          <w:rFonts w:ascii="Century Gothic" w:hAnsi="Century Gothic"/>
          <w:sz w:val="20"/>
          <w:szCs w:val="20"/>
        </w:rPr>
      </w:pPr>
    </w:p>
    <w:p w:rsidR="00D6731C" w:rsidRPr="00F74933" w:rsidRDefault="00D6731C" w:rsidP="0080322A">
      <w:pPr>
        <w:spacing w:after="0"/>
        <w:jc w:val="both"/>
        <w:rPr>
          <w:rFonts w:ascii="Century Gothic" w:hAnsi="Century Gothic"/>
          <w:sz w:val="20"/>
          <w:szCs w:val="20"/>
        </w:rPr>
      </w:pPr>
    </w:p>
    <w:p w:rsidR="00D6731C" w:rsidRPr="003B7849" w:rsidRDefault="00D6731C" w:rsidP="00D6731C">
      <w:pPr>
        <w:spacing w:after="0" w:line="240" w:lineRule="auto"/>
        <w:jc w:val="right"/>
        <w:rPr>
          <w:rFonts w:ascii="Century Gothic" w:eastAsia="Times New Roman" w:hAnsi="Century Gothic" w:cs="Times New Roman"/>
          <w:sz w:val="18"/>
          <w:szCs w:val="18"/>
          <w:lang w:eastAsia="pl-PL"/>
        </w:rPr>
      </w:pPr>
      <w:r w:rsidRPr="003B7849">
        <w:rPr>
          <w:rFonts w:ascii="Century Gothic" w:eastAsia="Times New Roman" w:hAnsi="Century Gothic" w:cs="Times New Roman"/>
          <w:sz w:val="18"/>
          <w:szCs w:val="18"/>
          <w:lang w:eastAsia="pl-PL"/>
        </w:rPr>
        <w:t>Opracowała:</w:t>
      </w:r>
    </w:p>
    <w:p w:rsidR="00D6731C" w:rsidRPr="003B7849" w:rsidRDefault="00D6731C" w:rsidP="00D6731C">
      <w:pPr>
        <w:spacing w:after="0" w:line="240" w:lineRule="auto"/>
        <w:jc w:val="right"/>
        <w:rPr>
          <w:rFonts w:ascii="Century Gothic" w:eastAsia="Times New Roman" w:hAnsi="Century Gothic" w:cs="Times New Roman"/>
          <w:sz w:val="18"/>
          <w:szCs w:val="18"/>
          <w:lang w:eastAsia="pl-PL"/>
        </w:rPr>
      </w:pPr>
      <w:r w:rsidRPr="003B7849">
        <w:rPr>
          <w:rFonts w:ascii="Century Gothic" w:eastAsia="Times New Roman" w:hAnsi="Century Gothic" w:cs="Times New Roman"/>
          <w:sz w:val="18"/>
          <w:szCs w:val="18"/>
          <w:lang w:eastAsia="pl-PL"/>
        </w:rPr>
        <w:t>mgr Małgorzata Głuchowska</w:t>
      </w:r>
    </w:p>
    <w:p w:rsidR="00D6731C" w:rsidRPr="003B7849" w:rsidRDefault="00D6731C" w:rsidP="00D6731C">
      <w:pPr>
        <w:spacing w:after="0" w:line="240" w:lineRule="auto"/>
        <w:jc w:val="right"/>
        <w:rPr>
          <w:rFonts w:ascii="Century Gothic" w:eastAsia="Times New Roman" w:hAnsi="Century Gothic" w:cs="Times New Roman"/>
          <w:sz w:val="18"/>
          <w:szCs w:val="18"/>
          <w:lang w:eastAsia="pl-PL"/>
        </w:rPr>
      </w:pPr>
      <w:r w:rsidRPr="003B7849">
        <w:rPr>
          <w:rFonts w:ascii="Century Gothic" w:eastAsia="Times New Roman" w:hAnsi="Century Gothic" w:cs="Times New Roman"/>
          <w:sz w:val="18"/>
          <w:szCs w:val="18"/>
          <w:lang w:eastAsia="pl-PL"/>
        </w:rPr>
        <w:t>Dział Obsługi Pacjenta,</w:t>
      </w:r>
    </w:p>
    <w:p w:rsidR="00D6731C" w:rsidRPr="003B7849" w:rsidRDefault="00D6731C" w:rsidP="00D6731C">
      <w:pPr>
        <w:spacing w:after="0" w:line="240" w:lineRule="auto"/>
        <w:jc w:val="right"/>
        <w:rPr>
          <w:rFonts w:ascii="Century Gothic" w:eastAsia="Times New Roman" w:hAnsi="Century Gothic" w:cs="Times New Roman"/>
          <w:sz w:val="18"/>
          <w:szCs w:val="18"/>
          <w:lang w:eastAsia="pl-PL"/>
        </w:rPr>
      </w:pPr>
      <w:r w:rsidRPr="003B7849">
        <w:rPr>
          <w:rFonts w:ascii="Century Gothic" w:eastAsia="Times New Roman" w:hAnsi="Century Gothic" w:cs="Times New Roman"/>
          <w:sz w:val="18"/>
          <w:szCs w:val="18"/>
          <w:lang w:eastAsia="pl-PL"/>
        </w:rPr>
        <w:t>Controllingu Medycznego</w:t>
      </w:r>
    </w:p>
    <w:p w:rsidR="00D6731C" w:rsidRPr="003B7849" w:rsidRDefault="00D6731C" w:rsidP="00D6731C">
      <w:pPr>
        <w:spacing w:after="0" w:line="240" w:lineRule="auto"/>
        <w:jc w:val="right"/>
        <w:rPr>
          <w:sz w:val="18"/>
          <w:szCs w:val="18"/>
        </w:rPr>
      </w:pPr>
      <w:r w:rsidRPr="003B7849">
        <w:rPr>
          <w:rFonts w:ascii="Century Gothic" w:eastAsia="Times New Roman" w:hAnsi="Century Gothic" w:cs="Times New Roman"/>
          <w:sz w:val="18"/>
          <w:szCs w:val="18"/>
          <w:lang w:eastAsia="pl-PL"/>
        </w:rPr>
        <w:t>i Zarządzania Jakością</w:t>
      </w:r>
    </w:p>
    <w:p w:rsidR="009C200F" w:rsidRPr="0080322A" w:rsidRDefault="009C200F" w:rsidP="0080322A">
      <w:pPr>
        <w:rPr>
          <w:szCs w:val="40"/>
        </w:rPr>
      </w:pPr>
    </w:p>
    <w:sectPr w:rsidR="009C200F" w:rsidRPr="0080322A" w:rsidSect="005E21C1">
      <w:headerReference w:type="even" r:id="rId20"/>
      <w:headerReference w:type="default" r:id="rId21"/>
      <w:footerReference w:type="default" r:id="rId22"/>
      <w:pgSz w:w="11906" w:h="16838"/>
      <w:pgMar w:top="2096" w:right="1417" w:bottom="1276" w:left="1417" w:header="284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4854" w:rsidRDefault="00234854" w:rsidP="00B34CED">
      <w:pPr>
        <w:spacing w:after="0" w:line="240" w:lineRule="auto"/>
      </w:pPr>
      <w:r>
        <w:separator/>
      </w:r>
    </w:p>
  </w:endnote>
  <w:endnote w:type="continuationSeparator" w:id="0">
    <w:p w:rsidR="00234854" w:rsidRDefault="00234854" w:rsidP="00B34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7875704"/>
      <w:docPartObj>
        <w:docPartGallery w:val="Page Numbers (Bottom of Page)"/>
        <w:docPartUnique/>
      </w:docPartObj>
    </w:sdtPr>
    <w:sdtContent>
      <w:p w:rsidR="005E21C1" w:rsidRDefault="005E21C1">
        <w:pPr>
          <w:pStyle w:val="Stopka"/>
          <w:jc w:val="right"/>
        </w:pPr>
        <w:r w:rsidRPr="005E21C1">
          <w:rPr>
            <w:rFonts w:ascii="Century Gothic" w:hAnsi="Century Gothic"/>
            <w:sz w:val="16"/>
            <w:szCs w:val="16"/>
          </w:rPr>
          <w:fldChar w:fldCharType="begin"/>
        </w:r>
        <w:r w:rsidRPr="005E21C1">
          <w:rPr>
            <w:rFonts w:ascii="Century Gothic" w:hAnsi="Century Gothic"/>
            <w:sz w:val="16"/>
            <w:szCs w:val="16"/>
          </w:rPr>
          <w:instrText xml:space="preserve"> PAGE   \* MERGEFORMAT </w:instrText>
        </w:r>
        <w:r w:rsidRPr="005E21C1">
          <w:rPr>
            <w:rFonts w:ascii="Century Gothic" w:hAnsi="Century Gothic"/>
            <w:sz w:val="16"/>
            <w:szCs w:val="16"/>
          </w:rPr>
          <w:fldChar w:fldCharType="separate"/>
        </w:r>
        <w:r w:rsidR="00E165ED">
          <w:rPr>
            <w:rFonts w:ascii="Century Gothic" w:hAnsi="Century Gothic"/>
            <w:noProof/>
            <w:sz w:val="16"/>
            <w:szCs w:val="16"/>
          </w:rPr>
          <w:t>12</w:t>
        </w:r>
        <w:r w:rsidRPr="005E21C1">
          <w:rPr>
            <w:rFonts w:ascii="Century Gothic" w:hAnsi="Century Gothic"/>
            <w:sz w:val="16"/>
            <w:szCs w:val="16"/>
          </w:rPr>
          <w:fldChar w:fldCharType="end"/>
        </w:r>
      </w:p>
    </w:sdtContent>
  </w:sdt>
  <w:p w:rsidR="00CD492D" w:rsidRDefault="00CD492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4854" w:rsidRDefault="00234854" w:rsidP="00B34CED">
      <w:pPr>
        <w:spacing w:after="0" w:line="240" w:lineRule="auto"/>
      </w:pPr>
      <w:r>
        <w:separator/>
      </w:r>
    </w:p>
  </w:footnote>
  <w:footnote w:type="continuationSeparator" w:id="0">
    <w:p w:rsidR="00234854" w:rsidRDefault="00234854" w:rsidP="00B34C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92D" w:rsidRDefault="00CD492D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92D" w:rsidRDefault="00CD492D" w:rsidP="00312838">
    <w:pPr>
      <w:pStyle w:val="Nagwek"/>
      <w:ind w:left="-709" w:right="-880"/>
      <w:jc w:val="center"/>
    </w:pPr>
    <w:r>
      <w:rPr>
        <w:noProof/>
        <w:lang w:eastAsia="pl-PL"/>
      </w:rPr>
      <w:drawing>
        <wp:inline distT="0" distB="0" distL="0" distR="0">
          <wp:extent cx="9874593" cy="648425"/>
          <wp:effectExtent l="19050" t="0" r="0" b="0"/>
          <wp:docPr id="3" name="Obraz 2" descr="szablon informacji ogólnyc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zablon informacji ogólnych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034894" cy="6589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E689C"/>
    <w:multiLevelType w:val="hybridMultilevel"/>
    <w:tmpl w:val="E152AEB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30E1021"/>
    <w:multiLevelType w:val="multilevel"/>
    <w:tmpl w:val="F04AD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ED7B87"/>
    <w:multiLevelType w:val="hybridMultilevel"/>
    <w:tmpl w:val="54548192"/>
    <w:lvl w:ilvl="0" w:tplc="FCF8579C">
      <w:start w:val="1"/>
      <w:numFmt w:val="bullet"/>
      <w:lvlText w:val="-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F6D97"/>
    <w:multiLevelType w:val="multilevel"/>
    <w:tmpl w:val="032E69AA"/>
    <w:lvl w:ilvl="0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"/>
      <w:lvlJc w:val="left"/>
      <w:pPr>
        <w:tabs>
          <w:tab w:val="num" w:pos="1788"/>
        </w:tabs>
        <w:ind w:left="1788" w:hanging="360"/>
      </w:pPr>
      <w:rPr>
        <w:rFonts w:ascii="Wingdings 3" w:hAnsi="Wingdings 3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4">
    <w:nsid w:val="3F2B2173"/>
    <w:multiLevelType w:val="multilevel"/>
    <w:tmpl w:val="DB5E5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441FD3"/>
    <w:multiLevelType w:val="multilevel"/>
    <w:tmpl w:val="31D2A4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537E417B"/>
    <w:multiLevelType w:val="hybridMultilevel"/>
    <w:tmpl w:val="A150F100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D7054A6"/>
    <w:multiLevelType w:val="multilevel"/>
    <w:tmpl w:val="3FDAF66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"/>
      <w:lvlJc w:val="left"/>
      <w:pPr>
        <w:tabs>
          <w:tab w:val="num" w:pos="1788"/>
        </w:tabs>
        <w:ind w:left="1788" w:hanging="360"/>
      </w:pPr>
      <w:rPr>
        <w:rFonts w:ascii="Wingdings 3" w:hAnsi="Wingdings 3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">
    <w:nsid w:val="5EEC43F7"/>
    <w:multiLevelType w:val="multilevel"/>
    <w:tmpl w:val="22128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736271"/>
    <w:multiLevelType w:val="multilevel"/>
    <w:tmpl w:val="94C02D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71756408"/>
    <w:multiLevelType w:val="hybridMultilevel"/>
    <w:tmpl w:val="A8CAD43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25D3149"/>
    <w:multiLevelType w:val="hybridMultilevel"/>
    <w:tmpl w:val="F676AE7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9"/>
  </w:num>
  <w:num w:numId="5">
    <w:abstractNumId w:val="1"/>
  </w:num>
  <w:num w:numId="6">
    <w:abstractNumId w:val="11"/>
  </w:num>
  <w:num w:numId="7">
    <w:abstractNumId w:val="6"/>
  </w:num>
  <w:num w:numId="8">
    <w:abstractNumId w:val="0"/>
  </w:num>
  <w:num w:numId="9">
    <w:abstractNumId w:val="10"/>
  </w:num>
  <w:num w:numId="10">
    <w:abstractNumId w:val="2"/>
  </w:num>
  <w:num w:numId="11">
    <w:abstractNumId w:val="7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B34CED"/>
    <w:rsid w:val="000230B1"/>
    <w:rsid w:val="000B668C"/>
    <w:rsid w:val="000E1410"/>
    <w:rsid w:val="001E7A49"/>
    <w:rsid w:val="001F5213"/>
    <w:rsid w:val="0021065F"/>
    <w:rsid w:val="00234854"/>
    <w:rsid w:val="002421D0"/>
    <w:rsid w:val="002D15E7"/>
    <w:rsid w:val="002F27CC"/>
    <w:rsid w:val="00306BD8"/>
    <w:rsid w:val="00312838"/>
    <w:rsid w:val="00336229"/>
    <w:rsid w:val="00347874"/>
    <w:rsid w:val="00383903"/>
    <w:rsid w:val="003A73C5"/>
    <w:rsid w:val="003B08AC"/>
    <w:rsid w:val="003D3E62"/>
    <w:rsid w:val="003D3FFC"/>
    <w:rsid w:val="003E5C7F"/>
    <w:rsid w:val="00452382"/>
    <w:rsid w:val="0048439F"/>
    <w:rsid w:val="00495242"/>
    <w:rsid w:val="004A280D"/>
    <w:rsid w:val="004D2F76"/>
    <w:rsid w:val="004D5B13"/>
    <w:rsid w:val="00555C52"/>
    <w:rsid w:val="005E153D"/>
    <w:rsid w:val="005E21C1"/>
    <w:rsid w:val="006460EE"/>
    <w:rsid w:val="00666D35"/>
    <w:rsid w:val="006A72D8"/>
    <w:rsid w:val="006E1E36"/>
    <w:rsid w:val="006E501D"/>
    <w:rsid w:val="007539A3"/>
    <w:rsid w:val="007620EF"/>
    <w:rsid w:val="0080322A"/>
    <w:rsid w:val="00885312"/>
    <w:rsid w:val="008C1E2C"/>
    <w:rsid w:val="008D6939"/>
    <w:rsid w:val="009773B5"/>
    <w:rsid w:val="009B4C9C"/>
    <w:rsid w:val="009B567A"/>
    <w:rsid w:val="009C200F"/>
    <w:rsid w:val="00A41934"/>
    <w:rsid w:val="00A5241B"/>
    <w:rsid w:val="00A53AE9"/>
    <w:rsid w:val="00AD2A0F"/>
    <w:rsid w:val="00B05CD5"/>
    <w:rsid w:val="00B34CED"/>
    <w:rsid w:val="00B40E43"/>
    <w:rsid w:val="00B465C5"/>
    <w:rsid w:val="00B737DD"/>
    <w:rsid w:val="00B81D00"/>
    <w:rsid w:val="00B954AA"/>
    <w:rsid w:val="00C0080A"/>
    <w:rsid w:val="00C83519"/>
    <w:rsid w:val="00CD492D"/>
    <w:rsid w:val="00CF6CE9"/>
    <w:rsid w:val="00D108B8"/>
    <w:rsid w:val="00D657BA"/>
    <w:rsid w:val="00D6731C"/>
    <w:rsid w:val="00DD3A1B"/>
    <w:rsid w:val="00E165ED"/>
    <w:rsid w:val="00E96152"/>
    <w:rsid w:val="00F236D0"/>
    <w:rsid w:val="00F84E48"/>
    <w:rsid w:val="00F91C20"/>
    <w:rsid w:val="00F93760"/>
    <w:rsid w:val="00FD7944"/>
    <w:rsid w:val="00FE1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0322A"/>
  </w:style>
  <w:style w:type="paragraph" w:styleId="Nagwek3">
    <w:name w:val="heading 3"/>
    <w:basedOn w:val="Normalny"/>
    <w:link w:val="Nagwek3Znak"/>
    <w:uiPriority w:val="9"/>
    <w:qFormat/>
    <w:rsid w:val="00CD49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CD492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4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4CED"/>
  </w:style>
  <w:style w:type="paragraph" w:styleId="Stopka">
    <w:name w:val="footer"/>
    <w:basedOn w:val="Normalny"/>
    <w:link w:val="StopkaZnak"/>
    <w:uiPriority w:val="99"/>
    <w:unhideWhenUsed/>
    <w:rsid w:val="00B34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4CED"/>
  </w:style>
  <w:style w:type="paragraph" w:styleId="Tekstdymka">
    <w:name w:val="Balloon Text"/>
    <w:basedOn w:val="Normalny"/>
    <w:link w:val="TekstdymkaZnak"/>
    <w:uiPriority w:val="99"/>
    <w:semiHidden/>
    <w:unhideWhenUsed/>
    <w:rsid w:val="00B34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4CE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8032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CF6CE9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CD492D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CD492D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CD4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itation-193">
    <w:name w:val="citation-193"/>
    <w:basedOn w:val="Domylnaczcionkaakapitu"/>
    <w:rsid w:val="00CD492D"/>
  </w:style>
  <w:style w:type="character" w:customStyle="1" w:styleId="citation-192">
    <w:name w:val="citation-192"/>
    <w:basedOn w:val="Domylnaczcionkaakapitu"/>
    <w:rsid w:val="00CD492D"/>
  </w:style>
  <w:style w:type="character" w:customStyle="1" w:styleId="citation-191">
    <w:name w:val="citation-191"/>
    <w:basedOn w:val="Domylnaczcionkaakapitu"/>
    <w:rsid w:val="00CD492D"/>
  </w:style>
  <w:style w:type="character" w:customStyle="1" w:styleId="citation-190">
    <w:name w:val="citation-190"/>
    <w:basedOn w:val="Domylnaczcionkaakapitu"/>
    <w:rsid w:val="00CD492D"/>
  </w:style>
  <w:style w:type="character" w:customStyle="1" w:styleId="citation-189">
    <w:name w:val="citation-189"/>
    <w:basedOn w:val="Domylnaczcionkaakapitu"/>
    <w:rsid w:val="00CD492D"/>
  </w:style>
  <w:style w:type="character" w:customStyle="1" w:styleId="citation-188">
    <w:name w:val="citation-188"/>
    <w:basedOn w:val="Domylnaczcionkaakapitu"/>
    <w:rsid w:val="00CD492D"/>
  </w:style>
  <w:style w:type="character" w:customStyle="1" w:styleId="citation-187">
    <w:name w:val="citation-187"/>
    <w:basedOn w:val="Domylnaczcionkaakapitu"/>
    <w:rsid w:val="00CD492D"/>
  </w:style>
  <w:style w:type="character" w:customStyle="1" w:styleId="citation-186">
    <w:name w:val="citation-186"/>
    <w:basedOn w:val="Domylnaczcionkaakapitu"/>
    <w:rsid w:val="00CD492D"/>
  </w:style>
  <w:style w:type="character" w:customStyle="1" w:styleId="citation-185">
    <w:name w:val="citation-185"/>
    <w:basedOn w:val="Domylnaczcionkaakapitu"/>
    <w:rsid w:val="00CD492D"/>
  </w:style>
  <w:style w:type="character" w:customStyle="1" w:styleId="citation-184">
    <w:name w:val="citation-184"/>
    <w:basedOn w:val="Domylnaczcionkaakapitu"/>
    <w:rsid w:val="00CD492D"/>
  </w:style>
  <w:style w:type="character" w:customStyle="1" w:styleId="citation-183">
    <w:name w:val="citation-183"/>
    <w:basedOn w:val="Domylnaczcionkaakapitu"/>
    <w:rsid w:val="00CD492D"/>
  </w:style>
  <w:style w:type="character" w:customStyle="1" w:styleId="citation-182">
    <w:name w:val="citation-182"/>
    <w:basedOn w:val="Domylnaczcionkaakapitu"/>
    <w:rsid w:val="00CD492D"/>
  </w:style>
  <w:style w:type="character" w:customStyle="1" w:styleId="citation-181">
    <w:name w:val="citation-181"/>
    <w:basedOn w:val="Domylnaczcionkaakapitu"/>
    <w:rsid w:val="00CD492D"/>
  </w:style>
  <w:style w:type="character" w:customStyle="1" w:styleId="citation-180">
    <w:name w:val="citation-180"/>
    <w:basedOn w:val="Domylnaczcionkaakapitu"/>
    <w:rsid w:val="00CD492D"/>
  </w:style>
  <w:style w:type="character" w:customStyle="1" w:styleId="citation-179">
    <w:name w:val="citation-179"/>
    <w:basedOn w:val="Domylnaczcionkaakapitu"/>
    <w:rsid w:val="00CD492D"/>
  </w:style>
  <w:style w:type="character" w:customStyle="1" w:styleId="citation-178">
    <w:name w:val="citation-178"/>
    <w:basedOn w:val="Domylnaczcionkaakapitu"/>
    <w:rsid w:val="00CD492D"/>
  </w:style>
  <w:style w:type="character" w:customStyle="1" w:styleId="citation-177">
    <w:name w:val="citation-177"/>
    <w:basedOn w:val="Domylnaczcionkaakapitu"/>
    <w:rsid w:val="00CD492D"/>
  </w:style>
  <w:style w:type="character" w:customStyle="1" w:styleId="citation-176">
    <w:name w:val="citation-176"/>
    <w:basedOn w:val="Domylnaczcionkaakapitu"/>
    <w:rsid w:val="00CD492D"/>
  </w:style>
  <w:style w:type="character" w:customStyle="1" w:styleId="citation-175">
    <w:name w:val="citation-175"/>
    <w:basedOn w:val="Domylnaczcionkaakapitu"/>
    <w:rsid w:val="00CD492D"/>
  </w:style>
  <w:style w:type="character" w:customStyle="1" w:styleId="citation-174">
    <w:name w:val="citation-174"/>
    <w:basedOn w:val="Domylnaczcionkaakapitu"/>
    <w:rsid w:val="00CD492D"/>
  </w:style>
  <w:style w:type="character" w:customStyle="1" w:styleId="citation-376">
    <w:name w:val="citation-376"/>
    <w:basedOn w:val="Domylnaczcionkaakapitu"/>
    <w:rsid w:val="003A73C5"/>
  </w:style>
  <w:style w:type="character" w:customStyle="1" w:styleId="citation-375">
    <w:name w:val="citation-375"/>
    <w:basedOn w:val="Domylnaczcionkaakapitu"/>
    <w:rsid w:val="003A73C5"/>
  </w:style>
  <w:style w:type="character" w:customStyle="1" w:styleId="citation-373">
    <w:name w:val="citation-373"/>
    <w:basedOn w:val="Domylnaczcionkaakapitu"/>
    <w:rsid w:val="003A73C5"/>
  </w:style>
  <w:style w:type="character" w:customStyle="1" w:styleId="citation-371">
    <w:name w:val="citation-371"/>
    <w:basedOn w:val="Domylnaczcionkaakapitu"/>
    <w:rsid w:val="003A73C5"/>
  </w:style>
  <w:style w:type="character" w:customStyle="1" w:styleId="citation-368">
    <w:name w:val="citation-368"/>
    <w:basedOn w:val="Domylnaczcionkaakapitu"/>
    <w:rsid w:val="003A73C5"/>
  </w:style>
  <w:style w:type="character" w:customStyle="1" w:styleId="citation-367">
    <w:name w:val="citation-367"/>
    <w:basedOn w:val="Domylnaczcionkaakapitu"/>
    <w:rsid w:val="00DD3A1B"/>
  </w:style>
  <w:style w:type="character" w:customStyle="1" w:styleId="citation-366">
    <w:name w:val="citation-366"/>
    <w:basedOn w:val="Domylnaczcionkaakapitu"/>
    <w:rsid w:val="00DD3A1B"/>
  </w:style>
  <w:style w:type="character" w:customStyle="1" w:styleId="citation-365">
    <w:name w:val="citation-365"/>
    <w:basedOn w:val="Domylnaczcionkaakapitu"/>
    <w:rsid w:val="00DD3A1B"/>
  </w:style>
  <w:style w:type="character" w:customStyle="1" w:styleId="citation-363">
    <w:name w:val="citation-363"/>
    <w:basedOn w:val="Domylnaczcionkaakapitu"/>
    <w:rsid w:val="00DD3A1B"/>
  </w:style>
  <w:style w:type="character" w:customStyle="1" w:styleId="citation-361">
    <w:name w:val="citation-361"/>
    <w:basedOn w:val="Domylnaczcionkaakapitu"/>
    <w:rsid w:val="00F91C20"/>
  </w:style>
  <w:style w:type="character" w:customStyle="1" w:styleId="citation-359">
    <w:name w:val="citation-359"/>
    <w:basedOn w:val="Domylnaczcionkaakapitu"/>
    <w:rsid w:val="004A280D"/>
  </w:style>
  <w:style w:type="character" w:customStyle="1" w:styleId="citation-357">
    <w:name w:val="citation-357"/>
    <w:basedOn w:val="Domylnaczcionkaakapitu"/>
    <w:rsid w:val="00B737DD"/>
  </w:style>
  <w:style w:type="character" w:customStyle="1" w:styleId="citation-356">
    <w:name w:val="citation-356"/>
    <w:basedOn w:val="Domylnaczcionkaakapitu"/>
    <w:rsid w:val="00B737DD"/>
  </w:style>
  <w:style w:type="character" w:customStyle="1" w:styleId="citation-355">
    <w:name w:val="citation-355"/>
    <w:basedOn w:val="Domylnaczcionkaakapitu"/>
    <w:rsid w:val="00B40E43"/>
  </w:style>
  <w:style w:type="character" w:customStyle="1" w:styleId="citation-353">
    <w:name w:val="citation-353"/>
    <w:basedOn w:val="Domylnaczcionkaakapitu"/>
    <w:rsid w:val="00FE1A00"/>
  </w:style>
  <w:style w:type="character" w:customStyle="1" w:styleId="citation-351">
    <w:name w:val="citation-351"/>
    <w:basedOn w:val="Domylnaczcionkaakapitu"/>
    <w:rsid w:val="00FE1A00"/>
  </w:style>
  <w:style w:type="character" w:customStyle="1" w:styleId="citation-349">
    <w:name w:val="citation-349"/>
    <w:basedOn w:val="Domylnaczcionkaakapitu"/>
    <w:rsid w:val="007620EF"/>
  </w:style>
  <w:style w:type="character" w:customStyle="1" w:styleId="citation-347">
    <w:name w:val="citation-347"/>
    <w:basedOn w:val="Domylnaczcionkaakapitu"/>
    <w:rsid w:val="007620EF"/>
  </w:style>
  <w:style w:type="character" w:customStyle="1" w:styleId="citation-346">
    <w:name w:val="citation-346"/>
    <w:basedOn w:val="Domylnaczcionkaakapitu"/>
    <w:rsid w:val="003D3E62"/>
  </w:style>
  <w:style w:type="character" w:customStyle="1" w:styleId="citation-345">
    <w:name w:val="citation-345"/>
    <w:basedOn w:val="Domylnaczcionkaakapitu"/>
    <w:rsid w:val="003D3E62"/>
  </w:style>
  <w:style w:type="character" w:customStyle="1" w:styleId="citation-343">
    <w:name w:val="citation-343"/>
    <w:basedOn w:val="Domylnaczcionkaakapitu"/>
    <w:rsid w:val="003D3E62"/>
  </w:style>
  <w:style w:type="character" w:customStyle="1" w:styleId="citation-342">
    <w:name w:val="citation-342"/>
    <w:basedOn w:val="Domylnaczcionkaakapitu"/>
    <w:rsid w:val="00C0080A"/>
  </w:style>
  <w:style w:type="character" w:customStyle="1" w:styleId="citation-340">
    <w:name w:val="citation-340"/>
    <w:basedOn w:val="Domylnaczcionkaakapitu"/>
    <w:rsid w:val="00C0080A"/>
  </w:style>
  <w:style w:type="character" w:customStyle="1" w:styleId="citation-339">
    <w:name w:val="citation-339"/>
    <w:basedOn w:val="Domylnaczcionkaakapitu"/>
    <w:rsid w:val="00C0080A"/>
  </w:style>
  <w:style w:type="character" w:customStyle="1" w:styleId="citation-446">
    <w:name w:val="citation-446"/>
    <w:basedOn w:val="Domylnaczcionkaakapitu"/>
    <w:rsid w:val="00D657BA"/>
  </w:style>
  <w:style w:type="character" w:customStyle="1" w:styleId="citation-445">
    <w:name w:val="citation-445"/>
    <w:basedOn w:val="Domylnaczcionkaakapitu"/>
    <w:rsid w:val="00D657BA"/>
  </w:style>
  <w:style w:type="character" w:customStyle="1" w:styleId="citation-444">
    <w:name w:val="citation-444"/>
    <w:basedOn w:val="Domylnaczcionkaakapitu"/>
    <w:rsid w:val="00D657BA"/>
  </w:style>
  <w:style w:type="character" w:customStyle="1" w:styleId="citation-443">
    <w:name w:val="citation-443"/>
    <w:basedOn w:val="Domylnaczcionkaakapitu"/>
    <w:rsid w:val="00D657BA"/>
  </w:style>
  <w:style w:type="character" w:customStyle="1" w:styleId="citation-442">
    <w:name w:val="citation-442"/>
    <w:basedOn w:val="Domylnaczcionkaakapitu"/>
    <w:rsid w:val="00D657BA"/>
  </w:style>
  <w:style w:type="character" w:customStyle="1" w:styleId="citation-441">
    <w:name w:val="citation-441"/>
    <w:basedOn w:val="Domylnaczcionkaakapitu"/>
    <w:rsid w:val="00D657BA"/>
  </w:style>
  <w:style w:type="character" w:customStyle="1" w:styleId="citation-440">
    <w:name w:val="citation-440"/>
    <w:basedOn w:val="Domylnaczcionkaakapitu"/>
    <w:rsid w:val="00D657BA"/>
  </w:style>
  <w:style w:type="character" w:customStyle="1" w:styleId="citation-439">
    <w:name w:val="citation-439"/>
    <w:basedOn w:val="Domylnaczcionkaakapitu"/>
    <w:rsid w:val="00D657BA"/>
  </w:style>
  <w:style w:type="character" w:customStyle="1" w:styleId="citation-438">
    <w:name w:val="citation-438"/>
    <w:basedOn w:val="Domylnaczcionkaakapitu"/>
    <w:rsid w:val="00D657BA"/>
  </w:style>
  <w:style w:type="character" w:customStyle="1" w:styleId="citation-437">
    <w:name w:val="citation-437"/>
    <w:basedOn w:val="Domylnaczcionkaakapitu"/>
    <w:rsid w:val="00D657BA"/>
  </w:style>
  <w:style w:type="character" w:customStyle="1" w:styleId="citation-436">
    <w:name w:val="citation-436"/>
    <w:basedOn w:val="Domylnaczcionkaakapitu"/>
    <w:rsid w:val="00D657BA"/>
  </w:style>
  <w:style w:type="character" w:customStyle="1" w:styleId="citation-435">
    <w:name w:val="citation-435"/>
    <w:basedOn w:val="Domylnaczcionkaakapitu"/>
    <w:rsid w:val="00D657BA"/>
  </w:style>
  <w:style w:type="character" w:customStyle="1" w:styleId="citation-434">
    <w:name w:val="citation-434"/>
    <w:basedOn w:val="Domylnaczcionkaakapitu"/>
    <w:rsid w:val="00D657BA"/>
  </w:style>
  <w:style w:type="character" w:customStyle="1" w:styleId="citation-527">
    <w:name w:val="citation-527"/>
    <w:basedOn w:val="Domylnaczcionkaakapitu"/>
    <w:rsid w:val="005E21C1"/>
  </w:style>
  <w:style w:type="character" w:customStyle="1" w:styleId="citation-526">
    <w:name w:val="citation-526"/>
    <w:basedOn w:val="Domylnaczcionkaakapitu"/>
    <w:rsid w:val="005E21C1"/>
  </w:style>
  <w:style w:type="character" w:customStyle="1" w:styleId="citation-525">
    <w:name w:val="citation-525"/>
    <w:basedOn w:val="Domylnaczcionkaakapitu"/>
    <w:rsid w:val="005E21C1"/>
  </w:style>
  <w:style w:type="character" w:customStyle="1" w:styleId="citation-524">
    <w:name w:val="citation-524"/>
    <w:basedOn w:val="Domylnaczcionkaakapitu"/>
    <w:rsid w:val="005E21C1"/>
  </w:style>
  <w:style w:type="character" w:customStyle="1" w:styleId="citation-523">
    <w:name w:val="citation-523"/>
    <w:basedOn w:val="Domylnaczcionkaakapitu"/>
    <w:rsid w:val="005E21C1"/>
  </w:style>
  <w:style w:type="character" w:customStyle="1" w:styleId="citation-522">
    <w:name w:val="citation-522"/>
    <w:basedOn w:val="Domylnaczcionkaakapitu"/>
    <w:rsid w:val="005E21C1"/>
  </w:style>
  <w:style w:type="character" w:customStyle="1" w:styleId="citation-521">
    <w:name w:val="citation-521"/>
    <w:basedOn w:val="Domylnaczcionkaakapitu"/>
    <w:rsid w:val="005E21C1"/>
  </w:style>
  <w:style w:type="character" w:customStyle="1" w:styleId="citation-520">
    <w:name w:val="citation-520"/>
    <w:basedOn w:val="Domylnaczcionkaakapitu"/>
    <w:rsid w:val="005E21C1"/>
  </w:style>
  <w:style w:type="character" w:customStyle="1" w:styleId="citation-519">
    <w:name w:val="citation-519"/>
    <w:basedOn w:val="Domylnaczcionkaakapitu"/>
    <w:rsid w:val="005E21C1"/>
  </w:style>
  <w:style w:type="character" w:customStyle="1" w:styleId="citation-518">
    <w:name w:val="citation-518"/>
    <w:basedOn w:val="Domylnaczcionkaakapitu"/>
    <w:rsid w:val="005E21C1"/>
  </w:style>
  <w:style w:type="character" w:customStyle="1" w:styleId="citation-517">
    <w:name w:val="citation-517"/>
    <w:basedOn w:val="Domylnaczcionkaakapitu"/>
    <w:rsid w:val="005E21C1"/>
  </w:style>
  <w:style w:type="character" w:customStyle="1" w:styleId="citation-516">
    <w:name w:val="citation-516"/>
    <w:basedOn w:val="Domylnaczcionkaakapitu"/>
    <w:rsid w:val="005E21C1"/>
  </w:style>
  <w:style w:type="character" w:customStyle="1" w:styleId="citation-515">
    <w:name w:val="citation-515"/>
    <w:basedOn w:val="Domylnaczcionkaakapitu"/>
    <w:rsid w:val="005E21C1"/>
  </w:style>
  <w:style w:type="character" w:customStyle="1" w:styleId="citation-514">
    <w:name w:val="citation-514"/>
    <w:basedOn w:val="Domylnaczcionkaakapitu"/>
    <w:rsid w:val="005E21C1"/>
  </w:style>
  <w:style w:type="character" w:customStyle="1" w:styleId="citation-513">
    <w:name w:val="citation-513"/>
    <w:basedOn w:val="Domylnaczcionkaakapitu"/>
    <w:rsid w:val="005E21C1"/>
  </w:style>
  <w:style w:type="character" w:customStyle="1" w:styleId="citation-512">
    <w:name w:val="citation-512"/>
    <w:basedOn w:val="Domylnaczcionkaakapitu"/>
    <w:rsid w:val="005E21C1"/>
  </w:style>
  <w:style w:type="character" w:customStyle="1" w:styleId="citation-511">
    <w:name w:val="citation-511"/>
    <w:basedOn w:val="Domylnaczcionkaakapitu"/>
    <w:rsid w:val="005E21C1"/>
  </w:style>
  <w:style w:type="paragraph" w:styleId="Akapitzlist">
    <w:name w:val="List Paragraph"/>
    <w:basedOn w:val="Normalny"/>
    <w:uiPriority w:val="34"/>
    <w:qFormat/>
    <w:rsid w:val="00A53A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8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4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18" Type="http://schemas.openxmlformats.org/officeDocument/2006/relationships/chart" Target="charts/chart12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chart" Target="charts/chart11.xml"/><Relationship Id="rId2" Type="http://schemas.openxmlformats.org/officeDocument/2006/relationships/styles" Target="styles.xml"/><Relationship Id="rId16" Type="http://schemas.openxmlformats.org/officeDocument/2006/relationships/chart" Target="charts/chart10.xm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hart" Target="charts/chart9.xml"/><Relationship Id="rId23" Type="http://schemas.openxmlformats.org/officeDocument/2006/relationships/fontTable" Target="fontTable.xml"/><Relationship Id="rId10" Type="http://schemas.openxmlformats.org/officeDocument/2006/relationships/chart" Target="charts/chart4.xml"/><Relationship Id="rId19" Type="http://schemas.openxmlformats.org/officeDocument/2006/relationships/chart" Target="charts/chart13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Relationship Id="rId22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NKIETY\2025\PACJENT%202025\Kr&#243;tka%20analiza%20na%20stron&#281;%20www%20-%202025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A01. Jak oceniasz sprawność procesu przyjęcia do szpitala?</a:t>
            </a:r>
            <a:r>
              <a:rPr lang="pl-PL" sz="1000"/>
              <a:t> (s</a:t>
            </a:r>
            <a:r>
              <a:rPr lang="en-US" sz="1000"/>
              <a:t>kumulowany odsetek</a:t>
            </a:r>
            <a:r>
              <a:rPr lang="pl-PL" sz="1000"/>
              <a:t>)</a:t>
            </a:r>
            <a:endParaRPr lang="en-US" sz="1000"/>
          </a:p>
        </c:rich>
      </c:tx>
      <c:layout>
        <c:manualLayout>
          <c:xMode val="edge"/>
          <c:yMode val="edge"/>
          <c:x val="0.1211974537037037"/>
          <c:y val="0"/>
        </c:manualLayout>
      </c:layout>
    </c:title>
    <c:view3D>
      <c:rotX val="30"/>
      <c:rotY val="70"/>
      <c:perspective val="30"/>
    </c:view3D>
    <c:plotArea>
      <c:layout>
        <c:manualLayout>
          <c:layoutTarget val="inner"/>
          <c:xMode val="edge"/>
          <c:yMode val="edge"/>
          <c:x val="0"/>
          <c:y val="0.1162654761904762"/>
          <c:w val="0.7385418981481493"/>
          <c:h val="0.88373452380952378"/>
        </c:manualLayout>
      </c:layout>
      <c:pie3DChart>
        <c:varyColors val="1"/>
        <c:ser>
          <c:idx val="0"/>
          <c:order val="0"/>
          <c:tx>
            <c:strRef>
              <c:f>Arkusz1!$D$6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0"/>
              <c:layout>
                <c:manualLayout>
                  <c:x val="7.7143518518518524E-3"/>
                  <c:y val="-0.15632540990036875"/>
                </c:manualLayout>
              </c:layout>
              <c:showVal val="1"/>
            </c:dLbl>
            <c:dLbl>
              <c:idx val="1"/>
              <c:layout>
                <c:manualLayout>
                  <c:x val="5.8581481481481484E-2"/>
                  <c:y val="2.8589682539682533E-2"/>
                </c:manualLayout>
              </c:layout>
              <c:showVal val="1"/>
            </c:dLbl>
            <c:dLbl>
              <c:idx val="2"/>
              <c:layout>
                <c:manualLayout>
                  <c:x val="-5.9537037037037152E-2"/>
                  <c:y val="1.7788492063492062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Arkusz1!$C$7:$C$9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Arkusz1!$D$7:$D$9</c:f>
              <c:numCache>
                <c:formatCode>0.00%</c:formatCode>
                <c:ptCount val="3"/>
                <c:pt idx="0">
                  <c:v>0.65820000000000012</c:v>
                </c:pt>
                <c:pt idx="1">
                  <c:v>0.10110000000000001</c:v>
                </c:pt>
                <c:pt idx="2">
                  <c:v>0.24070000000000003</c:v>
                </c:pt>
              </c:numCache>
            </c:numRef>
          </c:val>
        </c:ser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B01. Jak oceniasz uwzględnianie przez personel medyczny Twojego zdania</a:t>
            </a:r>
            <a:r>
              <a:rPr lang="pl-PL" sz="1000"/>
              <a:t>   w procesie leczenia? (s</a:t>
            </a:r>
            <a:r>
              <a:rPr lang="en-US" sz="1000"/>
              <a:t>kumulowany odsetek</a:t>
            </a:r>
            <a:r>
              <a:rPr lang="pl-PL" sz="1000"/>
              <a:t>)</a:t>
            </a:r>
            <a:endParaRPr lang="en-US" sz="1000"/>
          </a:p>
        </c:rich>
      </c:tx>
      <c:layout>
        <c:manualLayout>
          <c:xMode val="edge"/>
          <c:yMode val="edge"/>
          <c:x val="0.13990208333333337"/>
          <c:y val="0"/>
        </c:manualLayout>
      </c:layout>
    </c:title>
    <c:view3D>
      <c:rotX val="30"/>
      <c:rotY val="70"/>
      <c:perspective val="30"/>
    </c:view3D>
    <c:plotArea>
      <c:layout>
        <c:manualLayout>
          <c:layoutTarget val="inner"/>
          <c:xMode val="edge"/>
          <c:yMode val="edge"/>
          <c:x val="0"/>
          <c:y val="0.20095753968253971"/>
          <c:w val="0.71567754629629665"/>
          <c:h val="0.78004285714285715"/>
        </c:manualLayout>
      </c:layout>
      <c:pie3DChart>
        <c:varyColors val="1"/>
        <c:ser>
          <c:idx val="0"/>
          <c:order val="0"/>
          <c:tx>
            <c:strRef>
              <c:f>Arkusz1!$D$34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4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0"/>
              <c:tx>
                <c:rich>
                  <a:bodyPr/>
                  <a:lstStyle/>
                  <a:p>
                    <a:r>
                      <a:rPr lang="pl-PL"/>
                      <a:t>70,86</a:t>
                    </a:r>
                    <a:r>
                      <a:rPr lang="en-US"/>
                      <a:t>%</a:t>
                    </a:r>
                  </a:p>
                </c:rich>
              </c:tx>
              <c:showPercent val="1"/>
            </c:dLbl>
            <c:dLbl>
              <c:idx val="1"/>
              <c:layout>
                <c:manualLayout>
                  <c:x val="7.7018518518518564E-3"/>
                  <c:y val="1.7676190476190477E-2"/>
                </c:manualLayout>
              </c:layout>
              <c:showPercent val="1"/>
            </c:dLbl>
            <c:dLbl>
              <c:idx val="2"/>
              <c:layout>
                <c:manualLayout>
                  <c:x val="1.9381712962962976E-2"/>
                  <c:y val="3.6692857142857152E-2"/>
                </c:manualLayout>
              </c:layout>
              <c:showPercent val="1"/>
            </c:dLbl>
            <c:numFmt formatCode="0.00%" sourceLinked="0"/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txPr>
              <a:bodyPr/>
              <a:lstStyle/>
              <a:p>
                <a:pPr>
                  <a:defRPr b="1"/>
                </a:pPr>
                <a:endParaRPr lang="pl-PL"/>
              </a:p>
            </c:txPr>
            <c:showPercent val="1"/>
            <c:showLeaderLines val="1"/>
          </c:dLbls>
          <c:cat>
            <c:strRef>
              <c:f>Arkusz1!$C$35:$C$37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Arkusz1!$D$35:$D$37</c:f>
              <c:numCache>
                <c:formatCode>0.00%</c:formatCode>
                <c:ptCount val="3"/>
                <c:pt idx="0">
                  <c:v>0.70860000000000012</c:v>
                </c:pt>
                <c:pt idx="1">
                  <c:v>6.900000000000002E-2</c:v>
                </c:pt>
                <c:pt idx="2">
                  <c:v>0.22239999999999999</c:v>
                </c:pt>
              </c:numCache>
            </c:numRef>
          </c:val>
        </c:ser>
        <c:dLbls>
          <c:showPercent val="1"/>
        </c:dLbls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pl-PL" sz="1000"/>
              <a:t>B02. Jak oceniasz opiekę/zaangażowanie personelu medycznego? (skumulowany odsetek)</a:t>
            </a:r>
          </a:p>
        </c:rich>
      </c:tx>
      <c:layout>
        <c:manualLayout>
          <c:xMode val="edge"/>
          <c:yMode val="edge"/>
          <c:x val="0.14279768518518543"/>
          <c:y val="0"/>
        </c:manualLayout>
      </c:layout>
    </c:title>
    <c:view3D>
      <c:rotX val="30"/>
      <c:rotY val="70"/>
      <c:perspective val="30"/>
    </c:view3D>
    <c:plotArea>
      <c:layout>
        <c:manualLayout>
          <c:layoutTarget val="inner"/>
          <c:xMode val="edge"/>
          <c:yMode val="edge"/>
          <c:x val="0"/>
          <c:y val="0.15576547619047626"/>
          <c:w val="0.70979791666666681"/>
          <c:h val="0.83734126984126978"/>
        </c:manualLayout>
      </c:layout>
      <c:pie3DChart>
        <c:varyColors val="1"/>
        <c:ser>
          <c:idx val="0"/>
          <c:order val="0"/>
          <c:tx>
            <c:strRef>
              <c:f>Arkusz1!$D$61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4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0"/>
              <c:layout>
                <c:manualLayout>
                  <c:x val="4.7915972222222263E-2"/>
                  <c:y val="-0.21971269841269864"/>
                </c:manualLayout>
              </c:layout>
              <c:showPercent val="1"/>
            </c:dLbl>
            <c:dLbl>
              <c:idx val="1"/>
              <c:layout>
                <c:manualLayout>
                  <c:x val="2.2945601851851849E-2"/>
                  <c:y val="-2.2392857142857392E-3"/>
                </c:manualLayout>
              </c:layout>
              <c:showPercent val="1"/>
            </c:dLbl>
            <c:dLbl>
              <c:idx val="2"/>
              <c:layout>
                <c:manualLayout>
                  <c:x val="-3.1321990740740741E-2"/>
                  <c:y val="1.203611111111111E-2"/>
                </c:manualLayout>
              </c:layout>
              <c:showPercent val="1"/>
            </c:dLbl>
            <c:numFmt formatCode="0.00%" sourceLinked="0"/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Percent val="1"/>
            <c:showLeaderLines val="1"/>
          </c:dLbls>
          <c:cat>
            <c:strRef>
              <c:f>Arkusz1!$C$62:$C$64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Arkusz1!$D$62:$D$64</c:f>
              <c:numCache>
                <c:formatCode>0.00%</c:formatCode>
                <c:ptCount val="3"/>
                <c:pt idx="0">
                  <c:v>0.7158000000000001</c:v>
                </c:pt>
                <c:pt idx="1">
                  <c:v>6.1600000000000002E-2</c:v>
                </c:pt>
                <c:pt idx="2">
                  <c:v>0.2225</c:v>
                </c:pt>
              </c:numCache>
            </c:numRef>
          </c:val>
        </c:ser>
        <c:dLbls>
          <c:showPercent val="1"/>
        </c:dLbls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en-US" sz="1000"/>
              <a:t>B03. Jak oceniasz próby zmniejszania bólu poprzez podanie leków?</a:t>
            </a:r>
            <a:r>
              <a:rPr lang="pl-PL" sz="1000"/>
              <a:t> (s</a:t>
            </a:r>
            <a:r>
              <a:rPr lang="en-US" sz="1000"/>
              <a:t>kumulowany odsetek</a:t>
            </a:r>
            <a:r>
              <a:rPr lang="pl-PL" sz="1000"/>
              <a:t>)</a:t>
            </a:r>
            <a:endParaRPr lang="en-US" sz="1000"/>
          </a:p>
        </c:rich>
      </c:tx>
      <c:layout>
        <c:manualLayout>
          <c:xMode val="edge"/>
          <c:yMode val="edge"/>
          <c:x val="0.13240555555555555"/>
          <c:y val="0"/>
        </c:manualLayout>
      </c:layout>
    </c:title>
    <c:view3D>
      <c:rotX val="30"/>
      <c:rotY val="70"/>
      <c:perspective val="30"/>
    </c:view3D>
    <c:plotArea>
      <c:layout>
        <c:manualLayout>
          <c:layoutTarget val="inner"/>
          <c:xMode val="edge"/>
          <c:yMode val="edge"/>
          <c:x val="0"/>
          <c:y val="0.11858214285714287"/>
          <c:w val="0.73037662037037043"/>
          <c:h val="0.8639821428571427"/>
        </c:manualLayout>
      </c:layout>
      <c:pie3DChart>
        <c:varyColors val="1"/>
        <c:ser>
          <c:idx val="0"/>
          <c:order val="0"/>
          <c:tx>
            <c:strRef>
              <c:f>Arkusz1!$D$89</c:f>
              <c:strCache>
                <c:ptCount val="1"/>
                <c:pt idx="0">
                  <c:v>Skumulowany odsetek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4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0"/>
              <c:layout>
                <c:manualLayout>
                  <c:x val="5.0149305555555496E-2"/>
                  <c:y val="-0.22248015873015872"/>
                </c:manualLayout>
              </c:layout>
              <c:showPercent val="1"/>
            </c:dLbl>
            <c:dLbl>
              <c:idx val="1"/>
              <c:layout>
                <c:manualLayout>
                  <c:x val="-4.4930555555555566E-4"/>
                  <c:y val="3.8929761904761905E-2"/>
                </c:manualLayout>
              </c:layout>
              <c:showPercent val="1"/>
            </c:dLbl>
            <c:dLbl>
              <c:idx val="2"/>
              <c:layout>
                <c:manualLayout>
                  <c:x val="2.097905092592595E-2"/>
                  <c:y val="6.2603571428571439E-2"/>
                </c:manualLayout>
              </c:layout>
              <c:showPercent val="1"/>
            </c:dLbl>
            <c:numFmt formatCode="0.00%" sourceLinked="0"/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Percent val="1"/>
            <c:showLeaderLines val="1"/>
          </c:dLbls>
          <c:cat>
            <c:strRef>
              <c:f>Arkusz1!$C$90:$C$92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Arkusz1!$D$90:$D$92</c:f>
              <c:numCache>
                <c:formatCode>0.00%</c:formatCode>
                <c:ptCount val="3"/>
                <c:pt idx="0">
                  <c:v>0.70940000000000003</c:v>
                </c:pt>
                <c:pt idx="1">
                  <c:v>8.1200000000000022E-2</c:v>
                </c:pt>
                <c:pt idx="2">
                  <c:v>0.20950000000000002</c:v>
                </c:pt>
              </c:numCache>
            </c:numRef>
          </c:val>
        </c:ser>
        <c:dLbls>
          <c:showPercent val="1"/>
        </c:dLbls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900"/>
            </a:pPr>
            <a:r>
              <a:rPr lang="en-US" sz="900"/>
              <a:t>C01. Jak oceniasz zrozumiałość przekazywanych informacji dotyczących Twojego stanu zdrowia i procesu leczenia podczas pobytu w szpitalu?</a:t>
            </a:r>
            <a:r>
              <a:rPr lang="pl-PL" sz="900"/>
              <a:t> (s</a:t>
            </a:r>
            <a:r>
              <a:rPr lang="en-US" sz="900"/>
              <a:t>kumulowany odsetek</a:t>
            </a:r>
            <a:r>
              <a:rPr lang="pl-PL" sz="900"/>
              <a:t>)</a:t>
            </a:r>
            <a:endParaRPr lang="en-US" sz="900"/>
          </a:p>
        </c:rich>
      </c:tx>
      <c:layout>
        <c:manualLayout>
          <c:xMode val="edge"/>
          <c:yMode val="edge"/>
          <c:x val="0.10283819444444445"/>
          <c:y val="0"/>
        </c:manualLayout>
      </c:layout>
    </c:title>
    <c:view3D>
      <c:rotX val="30"/>
      <c:rotY val="70"/>
      <c:perspective val="30"/>
    </c:view3D>
    <c:plotArea>
      <c:layout>
        <c:manualLayout>
          <c:layoutTarget val="inner"/>
          <c:xMode val="edge"/>
          <c:yMode val="edge"/>
          <c:x val="0"/>
          <c:y val="0.20715634920634921"/>
          <c:w val="0.70620393518518565"/>
          <c:h val="0.77772460317460457"/>
        </c:manualLayout>
      </c:layout>
      <c:pie3DChart>
        <c:varyColors val="1"/>
        <c:ser>
          <c:idx val="0"/>
          <c:order val="0"/>
          <c:tx>
            <c:strRef>
              <c:f>Arkusz1!$D$117</c:f>
              <c:strCache>
                <c:ptCount val="1"/>
                <c:pt idx="0">
                  <c:v>Skumulowany odsetek</c:v>
                </c:pt>
              </c:strCache>
            </c:strRef>
          </c:tx>
          <c:explosion val="25"/>
          <c:dPt>
            <c:idx val="0"/>
            <c:spPr>
              <a:solidFill>
                <a:srgbClr val="92D050"/>
              </a:solidFill>
            </c:spPr>
          </c:dPt>
          <c:dPt>
            <c:idx val="1"/>
            <c:spPr>
              <a:solidFill>
                <a:srgbClr val="00B0F0"/>
              </a:solidFill>
            </c:spPr>
          </c:dPt>
          <c:dPt>
            <c:idx val="2"/>
            <c:spPr>
              <a:solidFill>
                <a:srgbClr val="FF0000"/>
              </a:solidFill>
            </c:spPr>
          </c:dPt>
          <c:dLbls>
            <c:dLbl>
              <c:idx val="0"/>
              <c:layout>
                <c:manualLayout>
                  <c:x val="7.1651967592592555E-2"/>
                  <c:y val="-0.20592103174603194"/>
                </c:manualLayout>
              </c:layout>
              <c:showVal val="1"/>
            </c:dLbl>
            <c:dLbl>
              <c:idx val="1"/>
              <c:layout>
                <c:manualLayout>
                  <c:x val="-1.2996527777777789E-3"/>
                  <c:y val="4.7353968253968308E-2"/>
                </c:manualLayout>
              </c:layout>
              <c:showVal val="1"/>
            </c:dLbl>
            <c:dLbl>
              <c:idx val="2"/>
              <c:layout>
                <c:manualLayout>
                  <c:x val="-7.3125000000000004E-3"/>
                  <c:y val="3.1656746031746029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Arkusz1!$C$118:$C$120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Arkusz1!$D$118:$D$120</c:f>
              <c:numCache>
                <c:formatCode>0.00%</c:formatCode>
                <c:ptCount val="3"/>
                <c:pt idx="0">
                  <c:v>0.71819999999999995</c:v>
                </c:pt>
                <c:pt idx="1">
                  <c:v>6.8099999999999994E-2</c:v>
                </c:pt>
                <c:pt idx="2">
                  <c:v>0.21360000000000001</c:v>
                </c:pt>
              </c:numCache>
            </c:numRef>
          </c:val>
        </c:ser>
        <c:ser>
          <c:idx val="1"/>
          <c:order val="1"/>
          <c:tx>
            <c:strRef>
              <c:f>Arkusz1!$E$117</c:f>
              <c:strCache>
                <c:ptCount val="1"/>
                <c:pt idx="0">
                  <c:v>Opis</c:v>
                </c:pt>
              </c:strCache>
            </c:strRef>
          </c:tx>
          <c:explosion val="25"/>
          <c:cat>
            <c:strRef>
              <c:f>Arkusz1!$C$118:$C$120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Arkusz1!$E$118:$E$120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900"/>
            </a:pPr>
            <a:r>
              <a:rPr lang="en-US" sz="900"/>
              <a:t>C02. Jak oceniasz zrozumiałość informacji przekazanych przez personel medyczny dotyczących zaleceń lekarskich</a:t>
            </a:r>
            <a:r>
              <a:rPr lang="pl-PL" sz="900"/>
              <a:t/>
            </a:r>
            <a:br>
              <a:rPr lang="pl-PL" sz="900"/>
            </a:br>
            <a:r>
              <a:rPr lang="en-US" sz="900"/>
              <a:t>i dalszego procesu leczenia po opuszczeniu szpitala?</a:t>
            </a:r>
            <a:r>
              <a:rPr lang="pl-PL" sz="900"/>
              <a:t> (s</a:t>
            </a:r>
            <a:r>
              <a:rPr lang="en-US" sz="900"/>
              <a:t>kumulowany odsetek</a:t>
            </a:r>
            <a:r>
              <a:rPr lang="pl-PL" sz="900"/>
              <a:t>)</a:t>
            </a:r>
            <a:endParaRPr lang="en-US" sz="900"/>
          </a:p>
        </c:rich>
      </c:tx>
      <c:layout>
        <c:manualLayout>
          <c:xMode val="edge"/>
          <c:yMode val="edge"/>
          <c:x val="0.10969537037037053"/>
          <c:y val="0"/>
        </c:manualLayout>
      </c:layout>
    </c:title>
    <c:view3D>
      <c:rotX val="30"/>
      <c:rotY val="70"/>
      <c:perspective val="30"/>
    </c:view3D>
    <c:plotArea>
      <c:layout>
        <c:manualLayout>
          <c:layoutTarget val="inner"/>
          <c:xMode val="edge"/>
          <c:yMode val="edge"/>
          <c:x val="0"/>
          <c:y val="0.27788809523809577"/>
          <c:w val="0.70326412037037034"/>
          <c:h val="0.71203253968253966"/>
        </c:manualLayout>
      </c:layout>
      <c:pie3DChart>
        <c:varyColors val="1"/>
        <c:ser>
          <c:idx val="0"/>
          <c:order val="0"/>
          <c:tx>
            <c:strRef>
              <c:f>Arkusz1!$D$144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0"/>
              <c:layout>
                <c:manualLayout>
                  <c:x val="6.9335879629629685E-2"/>
                  <c:y val="-0.20345277777777779"/>
                </c:manualLayout>
              </c:layout>
              <c:showVal val="1"/>
            </c:dLbl>
            <c:dLbl>
              <c:idx val="1"/>
              <c:layout>
                <c:manualLayout>
                  <c:x val="-6.5699074074074071E-3"/>
                  <c:y val="2.4688492063492065E-2"/>
                </c:manualLayout>
              </c:layout>
              <c:showVal val="1"/>
            </c:dLbl>
            <c:dLbl>
              <c:idx val="2"/>
              <c:layout>
                <c:manualLayout>
                  <c:x val="1.4845601851851848E-2"/>
                  <c:y val="2.6393253968253989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Arkusz1!$C$145:$C$147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Arkusz1!$D$145:$D$147</c:f>
              <c:numCache>
                <c:formatCode>0.00%</c:formatCode>
                <c:ptCount val="3"/>
                <c:pt idx="0">
                  <c:v>0.73220000000000007</c:v>
                </c:pt>
                <c:pt idx="1">
                  <c:v>7.5900000000000009E-2</c:v>
                </c:pt>
                <c:pt idx="2">
                  <c:v>0.19189999999999999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69444467592592596"/>
          <c:y val="0.51722619047619045"/>
          <c:w val="0.30555532407407432"/>
          <c:h val="0.23335595238095239"/>
        </c:manualLayout>
      </c:layout>
    </c:legend>
    <c:plotVisOnly val="1"/>
  </c:chart>
  <c:txPr>
    <a:bodyPr/>
    <a:lstStyle/>
    <a:p>
      <a:pPr>
        <a:spcBef>
          <a:spcPts val="600"/>
        </a:spcBef>
        <a:spcAft>
          <a:spcPts val="1200"/>
        </a:spcAft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900"/>
            </a:pPr>
            <a:r>
              <a:rPr lang="en-US" sz="900"/>
              <a:t>D01. Jak oceniasz wyżywienie w szpitalu?</a:t>
            </a:r>
            <a:endParaRPr lang="pl-PL" sz="900"/>
          </a:p>
          <a:p>
            <a:pPr>
              <a:defRPr sz="900"/>
            </a:pPr>
            <a:r>
              <a:rPr lang="pl-PL" sz="900"/>
              <a:t>(s</a:t>
            </a:r>
            <a:r>
              <a:rPr lang="en-US" sz="900"/>
              <a:t>kumulowany odsetek</a:t>
            </a:r>
            <a:r>
              <a:rPr lang="pl-PL" sz="900"/>
              <a:t>)</a:t>
            </a:r>
            <a:endParaRPr lang="en-US" sz="900"/>
          </a:p>
        </c:rich>
      </c:tx>
      <c:layout>
        <c:manualLayout>
          <c:xMode val="edge"/>
          <c:yMode val="edge"/>
          <c:x val="0.18952615740740769"/>
          <c:y val="5.0396825396825445E-3"/>
        </c:manualLayout>
      </c:layout>
    </c:title>
    <c:view3D>
      <c:rotX val="30"/>
      <c:rotY val="80"/>
      <c:perspective val="30"/>
    </c:view3D>
    <c:plotArea>
      <c:layout>
        <c:manualLayout>
          <c:layoutTarget val="inner"/>
          <c:xMode val="edge"/>
          <c:yMode val="edge"/>
          <c:x val="0"/>
          <c:y val="0.12871349206349242"/>
          <c:w val="0.72384282407407519"/>
          <c:h val="0.85616746031746027"/>
        </c:manualLayout>
      </c:layout>
      <c:pie3DChart>
        <c:varyColors val="1"/>
        <c:ser>
          <c:idx val="0"/>
          <c:order val="0"/>
          <c:tx>
            <c:strRef>
              <c:f>Arkusz1!$D$171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0"/>
              <c:layout>
                <c:manualLayout>
                  <c:x val="2.3475925925925976E-2"/>
                  <c:y val="-0.21621944444444485"/>
                </c:manualLayout>
              </c:layout>
              <c:showVal val="1"/>
            </c:dLbl>
            <c:dLbl>
              <c:idx val="1"/>
              <c:layout>
                <c:manualLayout>
                  <c:x val="2.0067592592592613E-2"/>
                  <c:y val="2.2936111111111129E-2"/>
                </c:manualLayout>
              </c:layout>
              <c:showVal val="1"/>
            </c:dLbl>
            <c:dLbl>
              <c:idx val="2"/>
              <c:layout>
                <c:manualLayout>
                  <c:x val="-3.3685185185185214E-2"/>
                  <c:y val="1.3586111111111122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Arkusz1!$C$172:$C$174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Arkusz1!$D$172:$D$174</c:f>
              <c:numCache>
                <c:formatCode>0.00%</c:formatCode>
                <c:ptCount val="3"/>
                <c:pt idx="0">
                  <c:v>0.63530000000000009</c:v>
                </c:pt>
                <c:pt idx="1">
                  <c:v>0.17880000000000001</c:v>
                </c:pt>
                <c:pt idx="2">
                  <c:v>0.18580000000000002</c:v>
                </c:pt>
              </c:numCache>
            </c:numRef>
          </c:val>
        </c:ser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000"/>
            </a:pPr>
            <a:r>
              <a:rPr lang="pl-PL" sz="1000"/>
              <a:t>D02. Jak oceniasz czystość w salach, na korytarzach, </a:t>
            </a:r>
            <a:br>
              <a:rPr lang="pl-PL" sz="1000"/>
            </a:br>
            <a:r>
              <a:rPr lang="pl-PL" sz="1000"/>
              <a:t>w łazienkach? (skumulowany odsetek)</a:t>
            </a:r>
          </a:p>
        </c:rich>
      </c:tx>
      <c:layout>
        <c:manualLayout>
          <c:xMode val="edge"/>
          <c:yMode val="edge"/>
          <c:x val="0.11107638888888889"/>
          <c:y val="0"/>
        </c:manualLayout>
      </c:layout>
    </c:title>
    <c:view3D>
      <c:rotX val="30"/>
      <c:rotY val="70"/>
      <c:perspective val="30"/>
    </c:view3D>
    <c:plotArea>
      <c:layout>
        <c:manualLayout>
          <c:layoutTarget val="inner"/>
          <c:xMode val="edge"/>
          <c:yMode val="edge"/>
          <c:x val="0"/>
          <c:y val="9.8475396825396952E-2"/>
          <c:w val="0.7503011574074081"/>
          <c:h val="0.88640555555555567"/>
        </c:manualLayout>
      </c:layout>
      <c:pie3DChart>
        <c:varyColors val="1"/>
        <c:ser>
          <c:idx val="0"/>
          <c:order val="0"/>
          <c:tx>
            <c:strRef>
              <c:f>Arkusz1!$D$198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0"/>
              <c:layout>
                <c:manualLayout>
                  <c:x val="7.304895833333333E-2"/>
                  <c:y val="-0.20684325396825398"/>
                </c:manualLayout>
              </c:layout>
              <c:showVal val="1"/>
            </c:dLbl>
            <c:dLbl>
              <c:idx val="1"/>
              <c:layout>
                <c:manualLayout>
                  <c:x val="-9.6254629629629662E-2"/>
                  <c:y val="7.1596428571428589E-2"/>
                </c:manualLayout>
              </c:layout>
              <c:showVal val="1"/>
            </c:dLbl>
            <c:dLbl>
              <c:idx val="2"/>
              <c:layout>
                <c:manualLayout>
                  <c:x val="-3.6128240740740739E-2"/>
                  <c:y val="9.4420634920635155E-3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Arkusz1!$C$199:$C$201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Arkusz1!$D$199:$D$201</c:f>
              <c:numCache>
                <c:formatCode>0.00%</c:formatCode>
                <c:ptCount val="3"/>
                <c:pt idx="0">
                  <c:v>0.76659999999999995</c:v>
                </c:pt>
                <c:pt idx="1">
                  <c:v>0.10570000000000002</c:v>
                </c:pt>
                <c:pt idx="2">
                  <c:v>0.12770000000000001</c:v>
                </c:pt>
              </c:numCache>
            </c:numRef>
          </c:val>
        </c:ser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950"/>
            </a:pPr>
            <a:r>
              <a:rPr lang="en-US" sz="950"/>
              <a:t>E01. Jak oceniasz respektowanie przez personel medyczny praw pacjenta, szczególnych uprawnień</a:t>
            </a:r>
            <a:r>
              <a:rPr lang="pl-PL" sz="950"/>
              <a:t/>
            </a:r>
            <a:br>
              <a:rPr lang="pl-PL" sz="950"/>
            </a:br>
            <a:r>
              <a:rPr lang="en-US" sz="950"/>
              <a:t>i potrzeb?</a:t>
            </a:r>
            <a:r>
              <a:rPr lang="pl-PL" sz="950"/>
              <a:t> (s</a:t>
            </a:r>
            <a:r>
              <a:rPr lang="en-US" sz="950"/>
              <a:t>kumulowany odsetek</a:t>
            </a:r>
            <a:r>
              <a:rPr lang="pl-PL" sz="950"/>
              <a:t>)</a:t>
            </a:r>
            <a:endParaRPr lang="en-US" sz="950"/>
          </a:p>
        </c:rich>
      </c:tx>
      <c:layout>
        <c:manualLayout>
          <c:xMode val="edge"/>
          <c:yMode val="edge"/>
          <c:x val="0.12351157407407409"/>
          <c:y val="0"/>
        </c:manualLayout>
      </c:layout>
    </c:title>
    <c:view3D>
      <c:rotX val="30"/>
      <c:rotY val="70"/>
      <c:perspective val="30"/>
    </c:view3D>
    <c:plotArea>
      <c:layout>
        <c:manualLayout>
          <c:layoutTarget val="inner"/>
          <c:xMode val="edge"/>
          <c:yMode val="edge"/>
          <c:x val="0"/>
          <c:y val="0.18699761904761922"/>
          <c:w val="0.76794004629629731"/>
          <c:h val="0.81300238095238009"/>
        </c:manualLayout>
      </c:layout>
      <c:pie3DChart>
        <c:varyColors val="1"/>
        <c:ser>
          <c:idx val="0"/>
          <c:order val="0"/>
          <c:tx>
            <c:strRef>
              <c:f>Arkusz1!$D$225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0"/>
              <c:layout>
                <c:manualLayout>
                  <c:x val="4.5755787037037095E-2"/>
                  <c:y val="-0.2261313492063492"/>
                </c:manualLayout>
              </c:layout>
              <c:showVal val="1"/>
            </c:dLbl>
            <c:dLbl>
              <c:idx val="1"/>
              <c:layout>
                <c:manualLayout>
                  <c:x val="7.2321759259259275E-3"/>
                  <c:y val="3.9785317460317465E-2"/>
                </c:manualLayout>
              </c:layout>
              <c:showVal val="1"/>
            </c:dLbl>
            <c:dLbl>
              <c:idx val="2"/>
              <c:layout>
                <c:manualLayout>
                  <c:x val="1.1907638888888898E-2"/>
                  <c:y val="4.2799603174603226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Arkusz1!$C$226:$C$228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Arkusz1!$D$226:$D$228</c:f>
              <c:numCache>
                <c:formatCode>0.00%</c:formatCode>
                <c:ptCount val="3"/>
                <c:pt idx="0">
                  <c:v>0.71950000000000003</c:v>
                </c:pt>
                <c:pt idx="1">
                  <c:v>7.4500000000000011E-2</c:v>
                </c:pt>
                <c:pt idx="2">
                  <c:v>0.20610000000000001</c:v>
                </c:pt>
              </c:numCache>
            </c:numRef>
          </c:val>
        </c:ser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/>
            </a:pPr>
            <a:r>
              <a:rPr lang="en-US"/>
              <a:t>F01. Jakie jest prawdopodobieństwo, że polecisz ten szpital znajomym lub rodzinie? </a:t>
            </a:r>
            <a:r>
              <a:rPr lang="pl-PL"/>
              <a:t>[</a:t>
            </a:r>
            <a:r>
              <a:rPr lang="en-US"/>
              <a:t>NPS</a:t>
            </a:r>
            <a:r>
              <a:rPr lang="pl-PL"/>
              <a:t>] </a:t>
            </a:r>
          </a:p>
          <a:p>
            <a:pPr>
              <a:defRPr/>
            </a:pPr>
            <a:r>
              <a:rPr lang="pl-PL"/>
              <a:t>(s</a:t>
            </a:r>
            <a:r>
              <a:rPr lang="en-US"/>
              <a:t>kumulowany odsetek</a:t>
            </a:r>
            <a:r>
              <a:rPr lang="pl-PL"/>
              <a:t>)</a:t>
            </a:r>
            <a:endParaRPr lang="en-US"/>
          </a:p>
        </c:rich>
      </c:tx>
      <c:layout>
        <c:manualLayout>
          <c:xMode val="edge"/>
          <c:yMode val="edge"/>
          <c:x val="0.14241550925925925"/>
          <c:y val="0"/>
        </c:manualLayout>
      </c:layout>
    </c:title>
    <c:view3D>
      <c:rotX val="30"/>
      <c:rotY val="70"/>
      <c:perspective val="30"/>
    </c:view3D>
    <c:plotArea>
      <c:layout>
        <c:manualLayout>
          <c:layoutTarget val="inner"/>
          <c:xMode val="edge"/>
          <c:yMode val="edge"/>
          <c:x val="0"/>
          <c:y val="0.19810992063492064"/>
          <c:w val="0.74736134259259324"/>
          <c:h val="0.80189007936508028"/>
        </c:manualLayout>
      </c:layout>
      <c:pie3DChart>
        <c:varyColors val="1"/>
        <c:ser>
          <c:idx val="0"/>
          <c:order val="0"/>
          <c:tx>
            <c:strRef>
              <c:f>Arkusz1!$D$252</c:f>
              <c:strCache>
                <c:ptCount val="1"/>
                <c:pt idx="0">
                  <c:v>Skumulowany odsetek</c:v>
                </c:pt>
              </c:strCache>
            </c:strRef>
          </c:tx>
          <c:spPr>
            <a:ln>
              <a:solidFill>
                <a:schemeClr val="bg1">
                  <a:lumMod val="85000"/>
                </a:schemeClr>
              </a:solidFill>
            </a:ln>
          </c:spPr>
          <c:explosion val="25"/>
          <c:dPt>
            <c:idx val="0"/>
            <c:spPr>
              <a:solidFill>
                <a:srgbClr val="92D05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1"/>
            <c:spPr>
              <a:solidFill>
                <a:srgbClr val="00B0F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Pt>
            <c:idx val="2"/>
            <c:spPr>
              <a:solidFill>
                <a:srgbClr val="FF0000"/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</c:dPt>
          <c:dLbls>
            <c:dLbl>
              <c:idx val="0"/>
              <c:layout>
                <c:manualLayout>
                  <c:x val="3.047870370370373E-2"/>
                  <c:y val="-0.22329126984126998"/>
                </c:manualLayout>
              </c:layout>
              <c:showVal val="1"/>
            </c:dLbl>
            <c:dLbl>
              <c:idx val="1"/>
              <c:layout>
                <c:manualLayout>
                  <c:x val="2.1684953703703734E-2"/>
                  <c:y val="3.9230158730158742E-3"/>
                </c:manualLayout>
              </c:layout>
              <c:showVal val="1"/>
            </c:dLbl>
            <c:dLbl>
              <c:idx val="2"/>
              <c:layout>
                <c:manualLayout>
                  <c:x val="8.8462962962963104E-3"/>
                  <c:y val="5.4872222222222308E-2"/>
                </c:manualLayout>
              </c:layout>
              <c:showVal val="1"/>
            </c:dLbl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showVal val="1"/>
            <c:showLeaderLines val="1"/>
          </c:dLbls>
          <c:cat>
            <c:strRef>
              <c:f>Arkusz1!$C$253:$C$255</c:f>
              <c:strCache>
                <c:ptCount val="3"/>
                <c:pt idx="0">
                  <c:v>Obszar DOBRY  (9-10)</c:v>
                </c:pt>
                <c:pt idx="1">
                  <c:v>Obszar OBOJĘTNY (7-8)</c:v>
                </c:pt>
                <c:pt idx="2">
                  <c:v>Obszar ZŁY (0-6)</c:v>
                </c:pt>
              </c:strCache>
            </c:strRef>
          </c:cat>
          <c:val>
            <c:numRef>
              <c:f>Arkusz1!$D$253:$D$255</c:f>
              <c:numCache>
                <c:formatCode>0.00%</c:formatCode>
                <c:ptCount val="3"/>
                <c:pt idx="0">
                  <c:v>0.71810000000000007</c:v>
                </c:pt>
                <c:pt idx="1">
                  <c:v>4.7699999999999999E-2</c:v>
                </c:pt>
                <c:pt idx="2">
                  <c:v>0.2341</c:v>
                </c:pt>
              </c:numCache>
            </c:numRef>
          </c:val>
        </c:ser>
      </c:pie3DChart>
    </c:plotArea>
    <c:legend>
      <c:legendPos val="r"/>
    </c:legend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 algn="ctr" rtl="0">
              <a:defRPr sz="1100"/>
            </a:pPr>
            <a:r>
              <a:rPr lang="en-US" sz="1100"/>
              <a:t>A. Obszary ocenione jako </a:t>
            </a:r>
            <a:r>
              <a:rPr lang="pl-PL" sz="1100"/>
              <a:t>"</a:t>
            </a:r>
            <a:r>
              <a:rPr lang="en-US" sz="1100" cap="small" baseline="0"/>
              <a:t>Złe</a:t>
            </a:r>
            <a:r>
              <a:rPr lang="pl-PL" sz="1100"/>
              <a:t>"</a:t>
            </a:r>
            <a:r>
              <a:rPr lang="en-US" sz="1100"/>
              <a:t> (wymagające interwencji)</a:t>
            </a:r>
            <a:r>
              <a:rPr lang="pl-PL" sz="1100"/>
              <a:t> </a:t>
            </a:r>
            <a:br>
              <a:rPr lang="pl-PL" sz="1100"/>
            </a:br>
            <a:r>
              <a:rPr lang="pl-PL" sz="1100"/>
              <a:t>[s</a:t>
            </a:r>
            <a:r>
              <a:rPr lang="en-US" sz="1100"/>
              <a:t>kumulowany odsetek</a:t>
            </a:r>
            <a:r>
              <a:rPr lang="pl-PL" sz="1100"/>
              <a:t>]</a:t>
            </a:r>
            <a:endParaRPr lang="en-US" sz="1100"/>
          </a:p>
        </c:rich>
      </c:tx>
      <c:layout>
        <c:manualLayout>
          <c:xMode val="edge"/>
          <c:yMode val="edge"/>
          <c:x val="0.13420714285714302"/>
          <c:y val="0"/>
        </c:manualLayout>
      </c:layout>
    </c:title>
    <c:view3D>
      <c:rotX val="5"/>
      <c:rAngAx val="1"/>
    </c:view3D>
    <c:plotArea>
      <c:layout>
        <c:manualLayout>
          <c:layoutTarget val="inner"/>
          <c:xMode val="edge"/>
          <c:yMode val="edge"/>
          <c:x val="9.8773611111111118E-2"/>
          <c:y val="0.17119801587301586"/>
          <c:w val="0.90122638888888851"/>
          <c:h val="0.71109206349206344"/>
        </c:manualLayout>
      </c:layout>
      <c:bar3DChart>
        <c:barDir val="col"/>
        <c:grouping val="clustered"/>
        <c:ser>
          <c:idx val="0"/>
          <c:order val="0"/>
          <c:tx>
            <c:strRef>
              <c:f>Arkusz1!$J$278</c:f>
              <c:strCache>
                <c:ptCount val="1"/>
                <c:pt idx="0">
                  <c:v>ODSETEK OCEN 0-6
OBSZAR ZŁY
</c:v>
                </c:pt>
              </c:strCache>
            </c:strRef>
          </c:tx>
          <c:spPr>
            <a:solidFill>
              <a:srgbClr val="C00000"/>
            </a:solidFill>
            <a:ln>
              <a:solidFill>
                <a:schemeClr val="bg1">
                  <a:lumMod val="95000"/>
                </a:schemeClr>
              </a:solidFill>
            </a:ln>
          </c:spPr>
          <c:dLbls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txPr>
              <a:bodyPr/>
              <a:lstStyle/>
              <a:p>
                <a:pPr>
                  <a:defRPr sz="900"/>
                </a:pPr>
                <a:endParaRPr lang="pl-PL"/>
              </a:p>
            </c:txPr>
            <c:showVal val="1"/>
          </c:dLbls>
          <c:cat>
            <c:strRef>
              <c:f>Arkusz1!$I$279:$I$283</c:f>
              <c:strCache>
                <c:ptCount val="5"/>
                <c:pt idx="0">
                  <c:v>A01.</c:v>
                </c:pt>
                <c:pt idx="1">
                  <c:v>F01.</c:v>
                </c:pt>
                <c:pt idx="2">
                  <c:v>B02.</c:v>
                </c:pt>
                <c:pt idx="3">
                  <c:v>B01.</c:v>
                </c:pt>
                <c:pt idx="4">
                  <c:v>C01.</c:v>
                </c:pt>
              </c:strCache>
            </c:strRef>
          </c:cat>
          <c:val>
            <c:numRef>
              <c:f>Arkusz1!$J$279:$J$283</c:f>
              <c:numCache>
                <c:formatCode>0.00%</c:formatCode>
                <c:ptCount val="5"/>
                <c:pt idx="0">
                  <c:v>0.24070000000000003</c:v>
                </c:pt>
                <c:pt idx="1">
                  <c:v>0.2341</c:v>
                </c:pt>
                <c:pt idx="2">
                  <c:v>0.2225</c:v>
                </c:pt>
                <c:pt idx="3">
                  <c:v>0.22239999999999999</c:v>
                </c:pt>
                <c:pt idx="4">
                  <c:v>0.21360000000000001</c:v>
                </c:pt>
              </c:numCache>
            </c:numRef>
          </c:val>
        </c:ser>
        <c:gapWidth val="75"/>
        <c:shape val="box"/>
        <c:axId val="173912832"/>
        <c:axId val="173914368"/>
        <c:axId val="0"/>
      </c:bar3DChart>
      <c:catAx>
        <c:axId val="173912832"/>
        <c:scaling>
          <c:orientation val="minMax"/>
        </c:scaling>
        <c:axPos val="b"/>
        <c:majorTickMark val="none"/>
        <c:tickLblPos val="nextTo"/>
        <c:txPr>
          <a:bodyPr/>
          <a:lstStyle/>
          <a:p>
            <a:pPr>
              <a:defRPr sz="900"/>
            </a:pPr>
            <a:endParaRPr lang="pl-PL"/>
          </a:p>
        </c:txPr>
        <c:crossAx val="173914368"/>
        <c:crosses val="autoZero"/>
        <c:auto val="1"/>
        <c:lblAlgn val="ctr"/>
        <c:lblOffset val="100"/>
      </c:catAx>
      <c:valAx>
        <c:axId val="173914368"/>
        <c:scaling>
          <c:orientation val="minMax"/>
        </c:scaling>
        <c:axPos val="l"/>
        <c:majorGridlines/>
        <c:numFmt formatCode="0.00%" sourceLinked="1"/>
        <c:majorTickMark val="none"/>
        <c:tickLblPos val="nextTo"/>
        <c:spPr>
          <a:ln w="9525">
            <a:noFill/>
          </a:ln>
        </c:spPr>
        <c:txPr>
          <a:bodyPr/>
          <a:lstStyle/>
          <a:p>
            <a:pPr>
              <a:defRPr sz="900"/>
            </a:pPr>
            <a:endParaRPr lang="pl-PL"/>
          </a:p>
        </c:txPr>
        <c:crossAx val="173912832"/>
        <c:crosses val="autoZero"/>
        <c:crossBetween val="between"/>
        <c:majorUnit val="1.0000000000000005E-2"/>
      </c:valAx>
    </c:plotArea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100"/>
            </a:pPr>
            <a:r>
              <a:rPr lang="en-US" sz="1100"/>
              <a:t>B. Obszary </a:t>
            </a:r>
            <a:r>
              <a:rPr lang="pl-PL" sz="1100"/>
              <a:t>"</a:t>
            </a:r>
            <a:r>
              <a:rPr lang="en-US" sz="1100" cap="small" baseline="0"/>
              <a:t>Obojętne</a:t>
            </a:r>
            <a:r>
              <a:rPr lang="pl-PL" sz="1100"/>
              <a:t>"</a:t>
            </a:r>
            <a:r>
              <a:rPr lang="en-US" sz="1100"/>
              <a:t> (potencjał do poprawy)</a:t>
            </a:r>
            <a:r>
              <a:rPr lang="pl-PL" sz="1100"/>
              <a:t> [s</a:t>
            </a:r>
            <a:r>
              <a:rPr lang="en-US" sz="1100"/>
              <a:t>kumulowany odsetek</a:t>
            </a:r>
            <a:r>
              <a:rPr lang="pl-PL" sz="1100"/>
              <a:t>]</a:t>
            </a:r>
            <a:endParaRPr lang="en-US" sz="1100"/>
          </a:p>
        </c:rich>
      </c:tx>
      <c:layout>
        <c:manualLayout>
          <c:xMode val="edge"/>
          <c:yMode val="edge"/>
          <c:x val="0.1483310185185184"/>
          <c:y val="1.3518518518518529E-2"/>
        </c:manualLayout>
      </c:layout>
    </c:title>
    <c:view3D>
      <c:rotX val="5"/>
      <c:rAngAx val="1"/>
    </c:view3D>
    <c:plotArea>
      <c:layout>
        <c:manualLayout>
          <c:layoutTarget val="inner"/>
          <c:xMode val="edge"/>
          <c:yMode val="edge"/>
          <c:x val="0.10292268518518524"/>
          <c:y val="0.21149027777777796"/>
          <c:w val="0.89707731481481479"/>
          <c:h val="0.69158379629629629"/>
        </c:manualLayout>
      </c:layout>
      <c:bar3DChart>
        <c:barDir val="col"/>
        <c:grouping val="clustered"/>
        <c:ser>
          <c:idx val="0"/>
          <c:order val="0"/>
          <c:tx>
            <c:strRef>
              <c:f>Arkusz1!$J$306</c:f>
              <c:strCache>
                <c:ptCount val="1"/>
                <c:pt idx="0">
                  <c:v>ODSETEK OCEN 7-8
OBSZAR OBOJĘTNY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chemeClr val="bg1">
                  <a:lumMod val="95000"/>
                </a:schemeClr>
              </a:solidFill>
            </a:ln>
          </c:spPr>
          <c:dLbls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txPr>
              <a:bodyPr/>
              <a:lstStyle/>
              <a:p>
                <a:pPr>
                  <a:defRPr sz="900"/>
                </a:pPr>
                <a:endParaRPr lang="pl-PL"/>
              </a:p>
            </c:txPr>
            <c:showVal val="1"/>
          </c:dLbls>
          <c:cat>
            <c:strRef>
              <c:f>Arkusz1!$I$307:$I$309</c:f>
              <c:strCache>
                <c:ptCount val="3"/>
                <c:pt idx="0">
                  <c:v>D01. </c:v>
                </c:pt>
                <c:pt idx="1">
                  <c:v>D02.</c:v>
                </c:pt>
                <c:pt idx="2">
                  <c:v>A01.</c:v>
                </c:pt>
              </c:strCache>
            </c:strRef>
          </c:cat>
          <c:val>
            <c:numRef>
              <c:f>Arkusz1!$J$307:$J$309</c:f>
              <c:numCache>
                <c:formatCode>0.00%</c:formatCode>
                <c:ptCount val="3"/>
                <c:pt idx="0">
                  <c:v>0.17880000000000001</c:v>
                </c:pt>
                <c:pt idx="1">
                  <c:v>0.10570000000000002</c:v>
                </c:pt>
                <c:pt idx="2">
                  <c:v>0.10110000000000001</c:v>
                </c:pt>
              </c:numCache>
            </c:numRef>
          </c:val>
        </c:ser>
        <c:gapWidth val="75"/>
        <c:shape val="box"/>
        <c:axId val="174008576"/>
        <c:axId val="174018560"/>
        <c:axId val="0"/>
      </c:bar3DChart>
      <c:catAx>
        <c:axId val="174008576"/>
        <c:scaling>
          <c:orientation val="minMax"/>
        </c:scaling>
        <c:axPos val="b"/>
        <c:majorTickMark val="none"/>
        <c:tickLblPos val="nextTo"/>
        <c:txPr>
          <a:bodyPr/>
          <a:lstStyle/>
          <a:p>
            <a:pPr>
              <a:defRPr sz="1000"/>
            </a:pPr>
            <a:endParaRPr lang="pl-PL"/>
          </a:p>
        </c:txPr>
        <c:crossAx val="174018560"/>
        <c:crosses val="autoZero"/>
        <c:auto val="1"/>
        <c:lblAlgn val="ctr"/>
        <c:lblOffset val="100"/>
      </c:catAx>
      <c:valAx>
        <c:axId val="174018560"/>
        <c:scaling>
          <c:orientation val="minMax"/>
        </c:scaling>
        <c:axPos val="l"/>
        <c:majorGridlines/>
        <c:numFmt formatCode="0.00%" sourceLinked="1"/>
        <c:majorTickMark val="none"/>
        <c:tickLblPos val="nextTo"/>
        <c:spPr>
          <a:ln w="9525">
            <a:noFill/>
          </a:ln>
        </c:spPr>
        <c:txPr>
          <a:bodyPr/>
          <a:lstStyle/>
          <a:p>
            <a:pPr>
              <a:defRPr sz="1000"/>
            </a:pPr>
            <a:endParaRPr lang="pl-PL"/>
          </a:p>
        </c:txPr>
        <c:crossAx val="174008576"/>
        <c:crosses val="autoZero"/>
        <c:crossBetween val="between"/>
      </c:valAx>
    </c:plotArea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title>
      <c:tx>
        <c:rich>
          <a:bodyPr/>
          <a:lstStyle/>
          <a:p>
            <a:pPr>
              <a:defRPr sz="1100"/>
            </a:pPr>
            <a:r>
              <a:rPr lang="pl-PL" sz="1100"/>
              <a:t>C. Obszary "</a:t>
            </a:r>
            <a:r>
              <a:rPr lang="pl-PL" sz="1100" cap="small" baseline="0"/>
              <a:t>Dobre" </a:t>
            </a:r>
            <a:r>
              <a:rPr lang="pl-PL" sz="1100"/>
              <a:t>(wzmacnianie) </a:t>
            </a:r>
            <a:br>
              <a:rPr lang="pl-PL" sz="1100"/>
            </a:br>
            <a:r>
              <a:rPr lang="pl-PL" sz="1100"/>
              <a:t>[skumulowany odsetek]</a:t>
            </a:r>
            <a:endParaRPr lang="en-US" sz="1100"/>
          </a:p>
        </c:rich>
      </c:tx>
      <c:layout>
        <c:manualLayout>
          <c:xMode val="edge"/>
          <c:yMode val="edge"/>
          <c:x val="0.2398703703703704"/>
          <c:y val="5.87962962962964E-3"/>
        </c:manualLayout>
      </c:layout>
    </c:title>
    <c:view3D>
      <c:rotX val="5"/>
      <c:rAngAx val="1"/>
    </c:view3D>
    <c:plotArea>
      <c:layout>
        <c:manualLayout>
          <c:layoutTarget val="inner"/>
          <c:xMode val="edge"/>
          <c:yMode val="edge"/>
          <c:x val="0.10292268518518524"/>
          <c:y val="0.21736990740740758"/>
          <c:w val="0.89707731481481479"/>
          <c:h val="0.68570416666666667"/>
        </c:manualLayout>
      </c:layout>
      <c:bar3DChart>
        <c:barDir val="col"/>
        <c:grouping val="clustered"/>
        <c:ser>
          <c:idx val="0"/>
          <c:order val="0"/>
          <c:tx>
            <c:strRef>
              <c:f>Arkusz1!$J$329</c:f>
              <c:strCache>
                <c:ptCount val="1"/>
                <c:pt idx="0">
                  <c:v>ODSETEK OCEN 9-10 OBSZAR DOBRY</c:v>
                </c:pt>
              </c:strCache>
            </c:strRef>
          </c:tx>
          <c:spPr>
            <a:solidFill>
              <a:srgbClr val="00B050"/>
            </a:solidFill>
            <a:ln>
              <a:solidFill>
                <a:schemeClr val="bg1">
                  <a:lumMod val="95000"/>
                </a:schemeClr>
              </a:solidFill>
            </a:ln>
          </c:spPr>
          <c:dLbls>
            <c:spPr>
              <a:solidFill>
                <a:schemeClr val="bg1">
                  <a:lumMod val="9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</c:spPr>
            <c:txPr>
              <a:bodyPr/>
              <a:lstStyle/>
              <a:p>
                <a:pPr>
                  <a:defRPr sz="900"/>
                </a:pPr>
                <a:endParaRPr lang="pl-PL"/>
              </a:p>
            </c:txPr>
            <c:showVal val="1"/>
          </c:dLbls>
          <c:cat>
            <c:strRef>
              <c:f>Arkusz1!$I$330:$I$332</c:f>
              <c:strCache>
                <c:ptCount val="3"/>
                <c:pt idx="0">
                  <c:v>D02. </c:v>
                </c:pt>
                <c:pt idx="1">
                  <c:v>C02. </c:v>
                </c:pt>
                <c:pt idx="2">
                  <c:v>E01. 
</c:v>
                </c:pt>
              </c:strCache>
            </c:strRef>
          </c:cat>
          <c:val>
            <c:numRef>
              <c:f>Arkusz1!$J$330:$J$332</c:f>
              <c:numCache>
                <c:formatCode>0.00%</c:formatCode>
                <c:ptCount val="3"/>
                <c:pt idx="0">
                  <c:v>0.76659999999999995</c:v>
                </c:pt>
                <c:pt idx="1">
                  <c:v>0.73220000000000007</c:v>
                </c:pt>
                <c:pt idx="2">
                  <c:v>0.71950000000000003</c:v>
                </c:pt>
              </c:numCache>
            </c:numRef>
          </c:val>
        </c:ser>
        <c:gapWidth val="75"/>
        <c:shape val="box"/>
        <c:axId val="174047232"/>
        <c:axId val="174048768"/>
        <c:axId val="0"/>
      </c:bar3DChart>
      <c:catAx>
        <c:axId val="174047232"/>
        <c:scaling>
          <c:orientation val="minMax"/>
        </c:scaling>
        <c:axPos val="b"/>
        <c:majorTickMark val="none"/>
        <c:tickLblPos val="nextTo"/>
        <c:txPr>
          <a:bodyPr/>
          <a:lstStyle/>
          <a:p>
            <a:pPr>
              <a:defRPr sz="1000"/>
            </a:pPr>
            <a:endParaRPr lang="pl-PL"/>
          </a:p>
        </c:txPr>
        <c:crossAx val="174048768"/>
        <c:crosses val="autoZero"/>
        <c:auto val="1"/>
        <c:lblAlgn val="ctr"/>
        <c:lblOffset val="100"/>
      </c:catAx>
      <c:valAx>
        <c:axId val="174048768"/>
        <c:scaling>
          <c:orientation val="minMax"/>
        </c:scaling>
        <c:axPos val="l"/>
        <c:majorGridlines/>
        <c:numFmt formatCode="0.00%" sourceLinked="1"/>
        <c:majorTickMark val="none"/>
        <c:tickLblPos val="nextTo"/>
        <c:spPr>
          <a:ln w="9525">
            <a:noFill/>
          </a:ln>
        </c:spPr>
        <c:txPr>
          <a:bodyPr/>
          <a:lstStyle/>
          <a:p>
            <a:pPr>
              <a:defRPr sz="1000"/>
            </a:pPr>
            <a:endParaRPr lang="pl-PL"/>
          </a:p>
        </c:txPr>
        <c:crossAx val="174047232"/>
        <c:crosses val="autoZero"/>
        <c:crossBetween val="between"/>
      </c:valAx>
    </c:plotArea>
    <c:plotVisOnly val="1"/>
  </c:chart>
  <c:txPr>
    <a:bodyPr/>
    <a:lstStyle/>
    <a:p>
      <a:pPr>
        <a:defRPr sz="800">
          <a:latin typeface="Century Gothic" pitchFamily="34" charset="0"/>
        </a:defRPr>
      </a:pPr>
      <a:endParaRPr lang="pl-PL"/>
    </a:p>
  </c:txPr>
  <c:externalData r:id="rId1"/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17</Pages>
  <Words>3012</Words>
  <Characters>18075</Characters>
  <Application>Microsoft Office Word</Application>
  <DocSecurity>0</DocSecurity>
  <Lines>150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lom.gluchowska</cp:lastModifiedBy>
  <cp:revision>47</cp:revision>
  <dcterms:created xsi:type="dcterms:W3CDTF">2026-03-10T12:31:00Z</dcterms:created>
  <dcterms:modified xsi:type="dcterms:W3CDTF">2026-03-10T16:23:00Z</dcterms:modified>
</cp:coreProperties>
</file>