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240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361"/>
        <w:gridCol w:w="6237"/>
        <w:gridCol w:w="1642"/>
      </w:tblGrid>
      <w:tr w:rsidR="00AA146A" w:rsidTr="00AA146A">
        <w:trPr>
          <w:trHeight w:hRule="exact" w:val="1174"/>
        </w:trPr>
        <w:tc>
          <w:tcPr>
            <w:tcW w:w="13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AA146A" w:rsidRDefault="00AA146A">
            <w:pPr>
              <w:snapToGrid w:val="0"/>
              <w:spacing w:line="276" w:lineRule="auto"/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noProof/>
                <w:lang w:eastAsia="pl-PL"/>
              </w:rPr>
              <w:drawing>
                <wp:inline distT="0" distB="0" distL="0" distR="0">
                  <wp:extent cx="638175" cy="571500"/>
                  <wp:effectExtent l="0" t="0" r="9525" b="0"/>
                  <wp:docPr id="1" name="Obraz 3" descr="LOGO 20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 descr="LOGO 20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571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AA146A" w:rsidRDefault="00AA146A">
            <w:pPr>
              <w:pStyle w:val="Nagwek5"/>
              <w:tabs>
                <w:tab w:val="left" w:pos="708"/>
              </w:tabs>
              <w:snapToGrid w:val="0"/>
              <w:spacing w:line="276" w:lineRule="auto"/>
              <w:ind w:left="0" w:firstLine="0"/>
              <w:rPr>
                <w:rFonts w:ascii="Century Gothic" w:eastAsiaTheme="minorEastAsia" w:hAnsi="Century Gothic" w:cstheme="minorBidi"/>
                <w:sz w:val="32"/>
                <w:szCs w:val="32"/>
              </w:rPr>
            </w:pPr>
            <w:r>
              <w:rPr>
                <w:rFonts w:ascii="Century Gothic" w:eastAsiaTheme="minorEastAsia" w:hAnsi="Century Gothic" w:cstheme="minorBidi"/>
                <w:sz w:val="32"/>
                <w:szCs w:val="32"/>
              </w:rPr>
              <w:t>JEDNOSTKA REALIZUJE PROGRAMY EDUKACJI PACJENTÓW</w:t>
            </w:r>
          </w:p>
        </w:tc>
        <w:tc>
          <w:tcPr>
            <w:tcW w:w="16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AA146A" w:rsidRDefault="00AA146A">
            <w:pPr>
              <w:pStyle w:val="iso1"/>
              <w:spacing w:before="40" w:line="240" w:lineRule="auto"/>
              <w:ind w:left="0" w:firstLine="0"/>
              <w:jc w:val="center"/>
              <w:rPr>
                <w:rFonts w:ascii="Century Gothic" w:hAnsi="Century Gothic"/>
                <w:b w:val="0"/>
                <w:bCs/>
                <w:sz w:val="16"/>
                <w:szCs w:val="16"/>
                <w:lang w:val="en-US"/>
              </w:rPr>
            </w:pPr>
            <w:r>
              <w:pict>
                <v:rect id="_x0000_s1026" style="position:absolute;left:0;text-align:left;margin-left:18.5pt;margin-top:-62.1pt;width:107.9pt;height:33.65pt;z-index:251658240;mso-position-horizontal-relative:text;mso-position-vertical-relative:text" stroked="f">
                  <v:textbox style="mso-next-textbox:#_x0000_s1026">
                    <w:txbxContent>
                      <w:p w:rsidR="00AA146A" w:rsidRDefault="00AA146A" w:rsidP="00AA146A">
                        <w:pPr>
                          <w:jc w:val="right"/>
                          <w:rPr>
                            <w:rFonts w:ascii="Century Gothic" w:hAnsi="Century Gothic"/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rect>
              </w:pict>
            </w:r>
            <w:r>
              <w:rPr>
                <w:rFonts w:ascii="Century Gothic" w:hAnsi="Century Gothic"/>
                <w:b w:val="0"/>
                <w:bCs/>
                <w:sz w:val="16"/>
                <w:szCs w:val="16"/>
                <w:lang w:val="en-US"/>
              </w:rPr>
              <w:t>ISO 9001</w:t>
            </w:r>
          </w:p>
          <w:p w:rsidR="00AA146A" w:rsidRDefault="00AA146A">
            <w:pPr>
              <w:pStyle w:val="iso1"/>
              <w:spacing w:line="240" w:lineRule="auto"/>
              <w:ind w:left="0" w:firstLine="0"/>
              <w:jc w:val="center"/>
              <w:rPr>
                <w:rFonts w:ascii="Century Gothic" w:hAnsi="Century Gothic"/>
                <w:b w:val="0"/>
                <w:bCs/>
                <w:sz w:val="16"/>
                <w:szCs w:val="16"/>
                <w:lang w:val="en-US"/>
              </w:rPr>
            </w:pPr>
            <w:r>
              <w:rPr>
                <w:rFonts w:ascii="Century Gothic" w:hAnsi="Century Gothic"/>
                <w:b w:val="0"/>
                <w:bCs/>
                <w:sz w:val="16"/>
                <w:szCs w:val="16"/>
                <w:lang w:val="en-US"/>
              </w:rPr>
              <w:t>ISO 14001</w:t>
            </w:r>
          </w:p>
          <w:p w:rsidR="00AA146A" w:rsidRDefault="00AA146A">
            <w:pPr>
              <w:spacing w:line="276" w:lineRule="auto"/>
              <w:jc w:val="center"/>
              <w:rPr>
                <w:rFonts w:ascii="Century Gothic" w:hAnsi="Century Gothic"/>
                <w:bCs/>
                <w:sz w:val="16"/>
                <w:szCs w:val="16"/>
                <w:lang w:val="en-US"/>
              </w:rPr>
            </w:pPr>
            <w:r>
              <w:rPr>
                <w:rFonts w:ascii="Century Gothic" w:hAnsi="Century Gothic"/>
                <w:bCs/>
                <w:sz w:val="16"/>
                <w:szCs w:val="16"/>
                <w:lang w:val="en-US"/>
              </w:rPr>
              <w:t>ISO/IEC 27001</w:t>
            </w:r>
          </w:p>
          <w:p w:rsidR="00AA146A" w:rsidRDefault="00AA146A">
            <w:pPr>
              <w:snapToGrid w:val="0"/>
              <w:spacing w:line="276" w:lineRule="auto"/>
              <w:jc w:val="center"/>
              <w:rPr>
                <w:rFonts w:ascii="Century Gothic" w:hAnsi="Century Gothic"/>
                <w:bCs/>
                <w:sz w:val="16"/>
                <w:szCs w:val="16"/>
                <w:lang w:val="en-US"/>
              </w:rPr>
            </w:pPr>
            <w:r>
              <w:rPr>
                <w:rFonts w:ascii="Century Gothic" w:hAnsi="Century Gothic"/>
                <w:bCs/>
                <w:sz w:val="16"/>
                <w:szCs w:val="16"/>
                <w:lang w:val="en-US"/>
              </w:rPr>
              <w:t>ISO 45001</w:t>
            </w:r>
          </w:p>
          <w:p w:rsidR="00AA146A" w:rsidRDefault="00AA146A">
            <w:pPr>
              <w:snapToGrid w:val="0"/>
              <w:spacing w:after="40" w:line="276" w:lineRule="auto"/>
              <w:jc w:val="center"/>
              <w:rPr>
                <w:rFonts w:ascii="Century Gothic" w:hAnsi="Century Gothic"/>
                <w:sz w:val="16"/>
                <w:szCs w:val="16"/>
                <w:lang w:val="en-US"/>
              </w:rPr>
            </w:pPr>
            <w:r>
              <w:rPr>
                <w:rFonts w:ascii="Century Gothic" w:hAnsi="Century Gothic"/>
                <w:bCs/>
                <w:sz w:val="16"/>
                <w:szCs w:val="16"/>
                <w:lang w:val="en-US"/>
              </w:rPr>
              <w:t>ISO 22000</w:t>
            </w:r>
          </w:p>
        </w:tc>
      </w:tr>
      <w:tr w:rsidR="00AA146A" w:rsidTr="00AA146A">
        <w:trPr>
          <w:trHeight w:val="408"/>
        </w:trPr>
        <w:tc>
          <w:tcPr>
            <w:tcW w:w="13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AA146A" w:rsidRDefault="00AA146A">
            <w:pPr>
              <w:snapToGrid w:val="0"/>
              <w:spacing w:line="276" w:lineRule="auto"/>
              <w:jc w:val="center"/>
              <w:rPr>
                <w:rFonts w:ascii="Century Gothic" w:hAnsi="Century Gothic"/>
                <w:smallCaps/>
              </w:rPr>
            </w:pPr>
            <w:r>
              <w:rPr>
                <w:rFonts w:ascii="Century Gothic" w:hAnsi="Century Gothic"/>
                <w:smallCaps/>
              </w:rPr>
              <w:t>Proces:</w:t>
            </w:r>
          </w:p>
        </w:tc>
        <w:tc>
          <w:tcPr>
            <w:tcW w:w="62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AA146A" w:rsidRDefault="00AA146A">
            <w:pPr>
              <w:pStyle w:val="Nagwek1"/>
              <w:tabs>
                <w:tab w:val="clear" w:pos="432"/>
                <w:tab w:val="left" w:pos="708"/>
              </w:tabs>
              <w:snapToGrid w:val="0"/>
              <w:spacing w:line="276" w:lineRule="auto"/>
              <w:ind w:left="0" w:firstLine="0"/>
              <w:rPr>
                <w:rFonts w:ascii="Century Gothic" w:eastAsiaTheme="minorEastAsia" w:hAnsi="Century Gothic"/>
                <w:b w:val="0"/>
                <w:smallCaps/>
                <w:sz w:val="24"/>
              </w:rPr>
            </w:pPr>
            <w:r>
              <w:rPr>
                <w:rFonts w:ascii="Century Gothic" w:eastAsiaTheme="minorEastAsia" w:hAnsi="Century Gothic"/>
                <w:b w:val="0"/>
                <w:smallCaps/>
                <w:sz w:val="24"/>
              </w:rPr>
              <w:t>PORADNIA LEKARZA RODZINNEGO</w:t>
            </w:r>
          </w:p>
        </w:tc>
        <w:tc>
          <w:tcPr>
            <w:tcW w:w="16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AA146A" w:rsidRDefault="00AA146A">
            <w:pPr>
              <w:snapToGrid w:val="0"/>
              <w:spacing w:line="276" w:lineRule="auto"/>
              <w:jc w:val="center"/>
              <w:rPr>
                <w:rStyle w:val="Numerstrony"/>
                <w:rFonts w:ascii="Century Gothic" w:hAnsi="Century Gothic"/>
                <w:smallCaps/>
              </w:rPr>
            </w:pPr>
            <w:r>
              <w:rPr>
                <w:rStyle w:val="Numerstrony"/>
                <w:rFonts w:ascii="Century Gothic" w:hAnsi="Century Gothic"/>
                <w:smallCaps/>
                <w:sz w:val="20"/>
                <w:szCs w:val="20"/>
              </w:rPr>
              <w:t xml:space="preserve">Strona </w:t>
            </w:r>
            <w:r>
              <w:rPr>
                <w:rStyle w:val="Numerstrony"/>
                <w:rFonts w:ascii="Century Gothic" w:hAnsi="Century Gothic"/>
                <w:smallCaps/>
                <w:sz w:val="20"/>
                <w:szCs w:val="20"/>
              </w:rPr>
              <w:fldChar w:fldCharType="begin"/>
            </w:r>
            <w:r>
              <w:rPr>
                <w:rStyle w:val="Numerstrony"/>
                <w:rFonts w:ascii="Century Gothic" w:hAnsi="Century Gothic"/>
                <w:smallCaps/>
                <w:sz w:val="20"/>
                <w:szCs w:val="20"/>
              </w:rPr>
              <w:instrText xml:space="preserve"> PAGE </w:instrText>
            </w:r>
            <w:r>
              <w:rPr>
                <w:rStyle w:val="Numerstrony"/>
                <w:rFonts w:ascii="Century Gothic" w:hAnsi="Century Gothic"/>
                <w:smallCaps/>
                <w:sz w:val="20"/>
                <w:szCs w:val="20"/>
              </w:rPr>
              <w:fldChar w:fldCharType="separate"/>
            </w:r>
            <w:r>
              <w:rPr>
                <w:rStyle w:val="Numerstrony"/>
                <w:rFonts w:ascii="Century Gothic" w:hAnsi="Century Gothic"/>
                <w:smallCaps/>
                <w:noProof/>
                <w:sz w:val="20"/>
                <w:szCs w:val="20"/>
              </w:rPr>
              <w:t>1</w:t>
            </w:r>
            <w:r>
              <w:rPr>
                <w:rStyle w:val="Numerstrony"/>
                <w:rFonts w:ascii="Century Gothic" w:hAnsi="Century Gothic"/>
                <w:smallCaps/>
                <w:sz w:val="20"/>
                <w:szCs w:val="20"/>
              </w:rPr>
              <w:fldChar w:fldCharType="end"/>
            </w:r>
            <w:r>
              <w:rPr>
                <w:rStyle w:val="Numerstrony"/>
                <w:rFonts w:ascii="Century Gothic" w:hAnsi="Century Gothic"/>
                <w:smallCaps/>
                <w:sz w:val="20"/>
                <w:szCs w:val="20"/>
              </w:rPr>
              <w:t xml:space="preserve"> z 3</w:t>
            </w:r>
          </w:p>
        </w:tc>
      </w:tr>
      <w:tr w:rsidR="00AA146A" w:rsidTr="00AA146A">
        <w:trPr>
          <w:trHeight w:val="414"/>
        </w:trPr>
        <w:tc>
          <w:tcPr>
            <w:tcW w:w="13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AA146A" w:rsidRDefault="00AA146A">
            <w:pPr>
              <w:snapToGrid w:val="0"/>
              <w:spacing w:line="276" w:lineRule="auto"/>
              <w:jc w:val="center"/>
              <w:rPr>
                <w:rFonts w:ascii="Century Gothic" w:hAnsi="Century Gothic"/>
                <w:smallCaps/>
              </w:rPr>
            </w:pPr>
            <w:r>
              <w:rPr>
                <w:rFonts w:ascii="Century Gothic" w:hAnsi="Century Gothic"/>
                <w:smallCaps/>
              </w:rPr>
              <w:t>PR 19</w:t>
            </w:r>
          </w:p>
        </w:tc>
        <w:tc>
          <w:tcPr>
            <w:tcW w:w="62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AA146A" w:rsidRDefault="00AA146A">
            <w:pPr>
              <w:pStyle w:val="Nagwek1"/>
              <w:tabs>
                <w:tab w:val="clear" w:pos="432"/>
                <w:tab w:val="left" w:pos="708"/>
              </w:tabs>
              <w:snapToGrid w:val="0"/>
              <w:spacing w:line="276" w:lineRule="auto"/>
              <w:rPr>
                <w:rFonts w:ascii="Century Gothic" w:eastAsiaTheme="minorEastAsia" w:hAnsi="Century Gothic"/>
                <w:bCs w:val="0"/>
                <w:smallCaps/>
                <w:sz w:val="24"/>
              </w:rPr>
            </w:pPr>
            <w:r>
              <w:rPr>
                <w:rFonts w:ascii="Century Gothic" w:eastAsiaTheme="minorEastAsia" w:hAnsi="Century Gothic"/>
                <w:b w:val="0"/>
                <w:smallCaps/>
                <w:sz w:val="24"/>
              </w:rPr>
              <w:t>KO 5.2</w:t>
            </w:r>
          </w:p>
        </w:tc>
        <w:tc>
          <w:tcPr>
            <w:tcW w:w="16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AA146A" w:rsidRDefault="00AA146A">
            <w:pPr>
              <w:snapToGrid w:val="0"/>
              <w:spacing w:line="276" w:lineRule="auto"/>
              <w:jc w:val="center"/>
              <w:rPr>
                <w:rFonts w:ascii="Century Gothic" w:hAnsi="Century Gothic"/>
                <w:smallCaps/>
                <w:sz w:val="20"/>
                <w:szCs w:val="20"/>
              </w:rPr>
            </w:pPr>
            <w:r>
              <w:rPr>
                <w:rFonts w:ascii="Century Gothic" w:hAnsi="Century Gothic"/>
                <w:smallCaps/>
                <w:sz w:val="20"/>
                <w:szCs w:val="20"/>
              </w:rPr>
              <w:t>Wydanie 1</w:t>
            </w:r>
          </w:p>
        </w:tc>
      </w:tr>
    </w:tbl>
    <w:p w:rsidR="00B72ACA" w:rsidRPr="00AA146A" w:rsidRDefault="00AA146A" w:rsidP="00AA146A">
      <w:pPr>
        <w:suppressAutoHyphens w:val="0"/>
        <w:spacing w:before="100" w:beforeAutospacing="1" w:after="100" w:afterAutospacing="1"/>
        <w:jc w:val="center"/>
        <w:rPr>
          <w:rFonts w:ascii="Century Gothic" w:hAnsi="Century Gothic"/>
          <w:b/>
          <w:bCs/>
          <w:sz w:val="22"/>
          <w:szCs w:val="22"/>
          <w:lang w:eastAsia="pl-PL"/>
        </w:rPr>
      </w:pPr>
      <w:r w:rsidRPr="00AA146A">
        <w:rPr>
          <w:rFonts w:ascii="Century Gothic" w:hAnsi="Century Gothic"/>
          <w:b/>
          <w:bCs/>
          <w:sz w:val="22"/>
          <w:szCs w:val="22"/>
          <w:lang w:eastAsia="pl-PL"/>
        </w:rPr>
        <w:t xml:space="preserve">EDUKACJA ŻYWIENIOWA DLA PACJENTÓW </w:t>
      </w:r>
      <w:r w:rsidRPr="00AA146A">
        <w:rPr>
          <w:rFonts w:ascii="Century Gothic" w:hAnsi="Century Gothic"/>
          <w:b/>
          <w:bCs/>
          <w:sz w:val="22"/>
          <w:szCs w:val="22"/>
          <w:u w:val="single"/>
          <w:lang w:eastAsia="pl-PL"/>
        </w:rPr>
        <w:t>Z CHOROBAMI NEREK</w:t>
      </w:r>
    </w:p>
    <w:p w:rsidR="00B72ACA" w:rsidRPr="00CB5AA5" w:rsidRDefault="00B72ACA" w:rsidP="00B72ACA">
      <w:pPr>
        <w:suppressAutoHyphens w:val="0"/>
        <w:spacing w:before="100" w:beforeAutospacing="1" w:after="100" w:afterAutospacing="1"/>
        <w:rPr>
          <w:rFonts w:ascii="Century Gothic" w:hAnsi="Century Gothic"/>
          <w:b/>
          <w:bCs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1. Podstawowe zasady żywienia w chorobach nerek</w:t>
      </w:r>
    </w:p>
    <w:p w:rsidR="00B72ACA" w:rsidRPr="00CB5AA5" w:rsidRDefault="00B72ACA" w:rsidP="00B72ACA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Cel edukacyjny: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Pacjent rozumie znaczenie diety w spowalnianiu postępu choroby nerek i potrafi stosować podstawowe zasady żywienia wspierające funkcję nerek.</w:t>
      </w:r>
    </w:p>
    <w:p w:rsidR="00B72ACA" w:rsidRPr="00CB5AA5" w:rsidRDefault="00B72ACA" w:rsidP="00B72ACA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Zakres treści: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Rola diety w przewlekłej chorobie nerek.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Znaczenie kontroli podaży białka, sodu i płynów.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Wpływ nadmiaru soli na ciśnienie tętnicze i obciążenie nerek.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Znaczenie prawidłowej podaży energii w zapobieganiu niedożywieniu.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Rola diety w zapobieganiu powikłaniom metabolicznym.</w:t>
      </w:r>
    </w:p>
    <w:p w:rsidR="00B72ACA" w:rsidRPr="00CB5AA5" w:rsidRDefault="00B72ACA" w:rsidP="00B72ACA">
      <w:pPr>
        <w:suppressAutoHyphens w:val="0"/>
        <w:spacing w:before="100" w:beforeAutospacing="1" w:after="100" w:afterAutospacing="1"/>
        <w:rPr>
          <w:rFonts w:ascii="Century Gothic" w:hAnsi="Century Gothic"/>
          <w:b/>
          <w:bCs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2. Kontrola spożycia białka w chorobach nerek</w:t>
      </w:r>
    </w:p>
    <w:p w:rsidR="00B72ACA" w:rsidRPr="00CB5AA5" w:rsidRDefault="00B72ACA" w:rsidP="00B72ACA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Cel edukacyjny: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Pacjent potrafi kontrolować ilość białka w diecie oraz wybierać jego odpowiednie źródła.</w:t>
      </w:r>
    </w:p>
    <w:p w:rsidR="00B72ACA" w:rsidRPr="00CB5AA5" w:rsidRDefault="00B72ACA" w:rsidP="00B72ACA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Zakres treści: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Znaczenie białka w diecie i jego wpływ na pracę nerek.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Zalecane spożycie białka w zależności od stadium choroby.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Produkty bogate w białko – mięso, ryby, nabiał, rośliny strączkowe.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Wybór produktów o wysokiej wartości biologicznej białka.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Praktyczne przykłady komponowania posiłków o odpowiedniej zawartości białka.</w:t>
      </w:r>
    </w:p>
    <w:p w:rsidR="00B72ACA" w:rsidRPr="00CB5AA5" w:rsidRDefault="00B72ACA" w:rsidP="00B72ACA">
      <w:pPr>
        <w:suppressAutoHyphens w:val="0"/>
        <w:spacing w:before="100" w:beforeAutospacing="1" w:after="100" w:afterAutospacing="1"/>
        <w:rPr>
          <w:rFonts w:ascii="Century Gothic" w:hAnsi="Century Gothic"/>
          <w:b/>
          <w:bCs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3. Kontrola potasu, fosforu i sodu w diecie</w:t>
      </w:r>
    </w:p>
    <w:p w:rsidR="00B72ACA" w:rsidRPr="00CB5AA5" w:rsidRDefault="00B72ACA" w:rsidP="00B72ACA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Cel edukacyjny: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Pacjent rozumie znaczenie ograniczenia niektórych składników mineralnych w diecie i potrafi identyfikować ich źródła.</w:t>
      </w:r>
    </w:p>
    <w:p w:rsidR="00B72ACA" w:rsidRPr="00CB5AA5" w:rsidRDefault="00B72ACA" w:rsidP="00B72ACA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Zakres treści: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Znaczenie potasu, fosforu i sodu w organizmie.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Produkty bogate w potas i metody zmniejszania jego zawartości w potrawach.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Źródła fosforu w diecie oraz jego wpływ na gospodarkę wapniowo-fosforanową.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Znaczenie ograniczenia soli.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Wskazówki kulinarne wspierające kontrolę elektrolitów.</w:t>
      </w:r>
    </w:p>
    <w:p w:rsidR="00B72ACA" w:rsidRPr="00CB5AA5" w:rsidRDefault="00B72ACA" w:rsidP="00B72ACA">
      <w:pPr>
        <w:suppressAutoHyphens w:val="0"/>
        <w:spacing w:before="100" w:beforeAutospacing="1" w:after="100" w:afterAutospacing="1"/>
        <w:rPr>
          <w:rFonts w:ascii="Century Gothic" w:hAnsi="Century Gothic"/>
          <w:b/>
          <w:bCs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4. Odpowiednie nawodnienie w chorobach nerek</w:t>
      </w:r>
    </w:p>
    <w:p w:rsidR="00B72ACA" w:rsidRPr="00CB5AA5" w:rsidRDefault="00B72ACA" w:rsidP="00B72ACA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Cel edukacyjny: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Pacjent rozumie znaczenie odpowiedniej podaży płynów oraz potrafi dostosować ich ilość do zaleceń medycznych.</w:t>
      </w:r>
    </w:p>
    <w:p w:rsidR="00B72ACA" w:rsidRPr="00CB5AA5" w:rsidRDefault="00B72ACA" w:rsidP="00B72ACA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lastRenderedPageBreak/>
        <w:t>Zakres treści: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Rola płynów w funkcjonowaniu organizmu.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Zalecana ilość płynów w zależności od stanu zdrowia.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 xml:space="preserve">• Objawy odwodnienia i </w:t>
      </w:r>
      <w:proofErr w:type="spellStart"/>
      <w:r w:rsidRPr="00CB5AA5">
        <w:rPr>
          <w:rFonts w:ascii="Century Gothic" w:hAnsi="Century Gothic"/>
          <w:sz w:val="20"/>
          <w:szCs w:val="20"/>
          <w:lang w:eastAsia="pl-PL"/>
        </w:rPr>
        <w:t>przewodnienia</w:t>
      </w:r>
      <w:proofErr w:type="spellEnd"/>
      <w:r w:rsidRPr="00CB5AA5">
        <w:rPr>
          <w:rFonts w:ascii="Century Gothic" w:hAnsi="Century Gothic"/>
          <w:sz w:val="20"/>
          <w:szCs w:val="20"/>
          <w:lang w:eastAsia="pl-PL"/>
        </w:rPr>
        <w:t>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Monitorowanie przyjmowanych płynów.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Wskazówki dotyczące wyboru napojów.</w:t>
      </w:r>
    </w:p>
    <w:p w:rsidR="00B72ACA" w:rsidRPr="00CB5AA5" w:rsidRDefault="00B72ACA" w:rsidP="00B72ACA">
      <w:pPr>
        <w:suppressAutoHyphens w:val="0"/>
        <w:spacing w:before="100" w:beforeAutospacing="1" w:after="100" w:afterAutospacing="1"/>
        <w:rPr>
          <w:rFonts w:ascii="Century Gothic" w:hAnsi="Century Gothic"/>
          <w:b/>
          <w:bCs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5. Czytanie etykiet i wybór produktów spożywczych</w:t>
      </w:r>
    </w:p>
    <w:p w:rsidR="00B72ACA" w:rsidRPr="00CB5AA5" w:rsidRDefault="00B72ACA" w:rsidP="00B72ACA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Cel edukacyjny: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Pacjent potrafi analizować skład produktów spożywczych i wybierać te korzystne dla zdrowia nerek.</w:t>
      </w:r>
    </w:p>
    <w:p w:rsidR="00B72ACA" w:rsidRPr="00CB5AA5" w:rsidRDefault="00B72ACA" w:rsidP="00B72ACA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Zakres treści: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Interpretacja zawartości sodu, fosforanów i białka w produktach.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Rozpoznawanie dodatków fosforanowych w żywności przetworzonej.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Wybór produktów o niskiej zawartości soli.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Porównywanie produktów spożywczych.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Planowanie zakupów spożywczych.</w:t>
      </w:r>
    </w:p>
    <w:p w:rsidR="00B72ACA" w:rsidRPr="00CB5AA5" w:rsidRDefault="00B72ACA" w:rsidP="00B72ACA">
      <w:pPr>
        <w:suppressAutoHyphens w:val="0"/>
        <w:spacing w:before="100" w:beforeAutospacing="1" w:after="100" w:afterAutospacing="1"/>
        <w:rPr>
          <w:rFonts w:ascii="Century Gothic" w:hAnsi="Century Gothic"/>
          <w:b/>
          <w:bCs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6. Postępowanie dietetyczne w sytuacjach szczególnych</w:t>
      </w:r>
    </w:p>
    <w:p w:rsidR="00B72ACA" w:rsidRPr="00CB5AA5" w:rsidRDefault="00B72ACA" w:rsidP="00B72ACA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Cel edukacyjny: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Pacjent potrafi dostosować dietę do zmieniających się warunków zdrowotnych.</w:t>
      </w:r>
    </w:p>
    <w:p w:rsidR="00B72ACA" w:rsidRPr="00CB5AA5" w:rsidRDefault="00B72ACA" w:rsidP="00B72ACA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Zakres treści: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Dieta w okresach pogorszenia funkcji nerek.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Żywienie podczas infekcji lub braku apetytu.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Znaczenie monitorowania masy ciała.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Postępowanie dietetyczne w dializoterapii.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Kontrola parametrów laboratoryjnych.</w:t>
      </w:r>
    </w:p>
    <w:p w:rsidR="00B72ACA" w:rsidRPr="00CB5AA5" w:rsidRDefault="00B72ACA" w:rsidP="00B72ACA">
      <w:pPr>
        <w:suppressAutoHyphens w:val="0"/>
        <w:spacing w:before="100" w:beforeAutospacing="1" w:after="100" w:afterAutospacing="1"/>
        <w:rPr>
          <w:rFonts w:ascii="Century Gothic" w:hAnsi="Century Gothic"/>
          <w:b/>
          <w:bCs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7. Indywidualizacja zaleceń dietetycznych</w:t>
      </w:r>
    </w:p>
    <w:p w:rsidR="00B72ACA" w:rsidRPr="00CB5AA5" w:rsidRDefault="00B72ACA" w:rsidP="00B72ACA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Cel edukacyjny: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Pacjent potrafi dostosować dietę do swojego stanu zdrowia, stylu życia i leczenia.</w:t>
      </w:r>
    </w:p>
    <w:p w:rsidR="00B72ACA" w:rsidRPr="00CB5AA5" w:rsidRDefault="00B72ACA" w:rsidP="00B72ACA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Zakres treści: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Dostosowanie kaloryczności diety.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Analiza dzienniczka żywieniowego.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Uwzględnienie preferencji żywieniowych pacjenta.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Edukacja dotycząca planowania posiłków.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Współpraca z zespołem terapeutycznym.</w:t>
      </w:r>
    </w:p>
    <w:p w:rsidR="00B72ACA" w:rsidRPr="00CB5AA5" w:rsidRDefault="00B72ACA" w:rsidP="00B72ACA">
      <w:pPr>
        <w:suppressAutoHyphens w:val="0"/>
        <w:spacing w:before="100" w:beforeAutospacing="1" w:after="100" w:afterAutospacing="1"/>
        <w:rPr>
          <w:rFonts w:ascii="Century Gothic" w:hAnsi="Century Gothic"/>
          <w:b/>
          <w:bCs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8. Znaczenie stylu życia w chorobach nerek</w:t>
      </w:r>
    </w:p>
    <w:p w:rsidR="00B72ACA" w:rsidRPr="00CB5AA5" w:rsidRDefault="00B72ACA" w:rsidP="00B72ACA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Cel edukacyjny: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Pacjent rozumie znaczenie zdrowego stylu życia w spowalnianiu postępu choroby.</w:t>
      </w:r>
    </w:p>
    <w:p w:rsidR="008F3399" w:rsidRDefault="00B72ACA" w:rsidP="00AA146A">
      <w:pPr>
        <w:suppressAutoHyphens w:val="0"/>
        <w:spacing w:before="100" w:beforeAutospacing="1" w:after="100" w:afterAutospacing="1"/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Zakres treści: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Rola aktywności fizycznej.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Znaczenie utrzymania prawidłowej masy ciała.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Ograniczenie alkoholu i zaprzestanie palenia tytoniu.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Regularna kontrola stanu zdrowia.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Znaczenie edukacji zdrowotnej i samokontroli.</w:t>
      </w:r>
    </w:p>
    <w:sectPr w:rsidR="008F3399" w:rsidSect="008F339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2270" w:rsidRDefault="00A52270" w:rsidP="00A52270">
      <w:r>
        <w:separator/>
      </w:r>
    </w:p>
  </w:endnote>
  <w:endnote w:type="continuationSeparator" w:id="0">
    <w:p w:rsidR="00A52270" w:rsidRDefault="00A52270" w:rsidP="00A522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2270" w:rsidRDefault="00A52270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958469"/>
      <w:docPartObj>
        <w:docPartGallery w:val="Page Numbers (Bottom of Page)"/>
        <w:docPartUnique/>
      </w:docPartObj>
    </w:sdtPr>
    <w:sdtContent>
      <w:p w:rsidR="00A52270" w:rsidRDefault="00A52270">
        <w:pPr>
          <w:pStyle w:val="Stopka"/>
          <w:jc w:val="right"/>
        </w:pPr>
        <w:fldSimple w:instr=" PAGE   \* MERGEFORMAT ">
          <w:r>
            <w:rPr>
              <w:noProof/>
            </w:rPr>
            <w:t>2</w:t>
          </w:r>
        </w:fldSimple>
      </w:p>
    </w:sdtContent>
  </w:sdt>
  <w:p w:rsidR="00A52270" w:rsidRDefault="00A52270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2270" w:rsidRDefault="00A52270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2270" w:rsidRDefault="00A52270" w:rsidP="00A52270">
      <w:r>
        <w:separator/>
      </w:r>
    </w:p>
  </w:footnote>
  <w:footnote w:type="continuationSeparator" w:id="0">
    <w:p w:rsidR="00A52270" w:rsidRDefault="00A52270" w:rsidP="00A5227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2270" w:rsidRDefault="00A52270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2270" w:rsidRDefault="00A52270">
    <w:pPr>
      <w:pStyle w:val="Nagwek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2270" w:rsidRDefault="00A52270">
    <w:pPr>
      <w:pStyle w:val="Nagwek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72ACA"/>
    <w:rsid w:val="008F3399"/>
    <w:rsid w:val="00A52270"/>
    <w:rsid w:val="00AA146A"/>
    <w:rsid w:val="00B53535"/>
    <w:rsid w:val="00B72A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72AC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AA146A"/>
    <w:pPr>
      <w:keepNext/>
      <w:tabs>
        <w:tab w:val="num" w:pos="432"/>
      </w:tabs>
      <w:suppressAutoHyphens w:val="0"/>
      <w:ind w:left="432" w:hanging="432"/>
      <w:jc w:val="center"/>
      <w:outlineLvl w:val="0"/>
    </w:pPr>
    <w:rPr>
      <w:rFonts w:ascii="Arial" w:hAnsi="Arial" w:cs="Arial"/>
      <w:b/>
      <w:bCs/>
      <w:sz w:val="20"/>
      <w:lang w:eastAsia="pl-PL"/>
    </w:rPr>
  </w:style>
  <w:style w:type="paragraph" w:styleId="Nagwek5">
    <w:name w:val="heading 5"/>
    <w:basedOn w:val="Normalny"/>
    <w:next w:val="Normalny"/>
    <w:link w:val="Nagwek5Znak"/>
    <w:unhideWhenUsed/>
    <w:qFormat/>
    <w:rsid w:val="00AA146A"/>
    <w:pPr>
      <w:keepNext/>
      <w:tabs>
        <w:tab w:val="num" w:pos="1008"/>
      </w:tabs>
      <w:suppressAutoHyphens w:val="0"/>
      <w:ind w:left="1008" w:hanging="1008"/>
      <w:jc w:val="center"/>
      <w:outlineLvl w:val="4"/>
    </w:pPr>
    <w:rPr>
      <w:rFonts w:ascii="Arial Narrow" w:hAnsi="Arial Narrow"/>
      <w:b/>
      <w:bCs/>
      <w:smallCaps/>
      <w:sz w:val="2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A146A"/>
    <w:rPr>
      <w:rFonts w:ascii="Arial" w:eastAsia="Times New Roman" w:hAnsi="Arial" w:cs="Arial"/>
      <w:b/>
      <w:bCs/>
      <w:sz w:val="20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rsid w:val="00AA146A"/>
    <w:rPr>
      <w:rFonts w:ascii="Arial Narrow" w:eastAsia="Times New Roman" w:hAnsi="Arial Narrow" w:cs="Times New Roman"/>
      <w:b/>
      <w:bCs/>
      <w:smallCaps/>
      <w:sz w:val="28"/>
      <w:szCs w:val="24"/>
      <w:lang w:eastAsia="pl-PL"/>
    </w:rPr>
  </w:style>
  <w:style w:type="paragraph" w:customStyle="1" w:styleId="iso1">
    <w:name w:val="iso1"/>
    <w:basedOn w:val="Normalny"/>
    <w:rsid w:val="00AA146A"/>
    <w:pPr>
      <w:suppressAutoHyphens w:val="0"/>
      <w:spacing w:line="360" w:lineRule="auto"/>
      <w:ind w:left="284" w:hanging="284"/>
    </w:pPr>
    <w:rPr>
      <w:b/>
      <w:color w:val="000000"/>
      <w:szCs w:val="20"/>
      <w:lang w:eastAsia="pl-PL"/>
    </w:rPr>
  </w:style>
  <w:style w:type="character" w:styleId="Numerstrony">
    <w:name w:val="page number"/>
    <w:basedOn w:val="Domylnaczcionkaakapitu"/>
    <w:semiHidden/>
    <w:unhideWhenUsed/>
    <w:rsid w:val="00AA146A"/>
  </w:style>
  <w:style w:type="paragraph" w:styleId="Tekstdymka">
    <w:name w:val="Balloon Text"/>
    <w:basedOn w:val="Normalny"/>
    <w:link w:val="TekstdymkaZnak"/>
    <w:uiPriority w:val="99"/>
    <w:semiHidden/>
    <w:unhideWhenUsed/>
    <w:rsid w:val="00AA146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A146A"/>
    <w:rPr>
      <w:rFonts w:ascii="Tahoma" w:eastAsia="Times New Roman" w:hAnsi="Tahoma" w:cs="Tahoma"/>
      <w:sz w:val="16"/>
      <w:szCs w:val="16"/>
      <w:lang w:eastAsia="ar-SA"/>
    </w:rPr>
  </w:style>
  <w:style w:type="paragraph" w:styleId="Nagwek">
    <w:name w:val="header"/>
    <w:basedOn w:val="Normalny"/>
    <w:link w:val="NagwekZnak"/>
    <w:uiPriority w:val="99"/>
    <w:semiHidden/>
    <w:unhideWhenUsed/>
    <w:rsid w:val="00A5227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A5227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A5227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52270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798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521</Words>
  <Characters>3129</Characters>
  <Application>Microsoft Office Word</Application>
  <DocSecurity>0</DocSecurity>
  <Lines>26</Lines>
  <Paragraphs>7</Paragraphs>
  <ScaleCrop>false</ScaleCrop>
  <Company/>
  <LinksUpToDate>false</LinksUpToDate>
  <CharactersWithSpaces>3643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lcn.gablek</dc:creator>
  <cp:lastModifiedBy>lom.krzyzewska</cp:lastModifiedBy>
  <cp:revision>3</cp:revision>
  <dcterms:created xsi:type="dcterms:W3CDTF">2026-03-11T09:28:00Z</dcterms:created>
  <dcterms:modified xsi:type="dcterms:W3CDTF">2026-03-13T10:04:00Z</dcterms:modified>
</cp:coreProperties>
</file>