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361"/>
        <w:gridCol w:w="6237"/>
        <w:gridCol w:w="1642"/>
      </w:tblGrid>
      <w:tr w:rsidR="003A57D2" w:rsidTr="003A57D2">
        <w:trPr>
          <w:trHeight w:hRule="exact" w:val="1017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3A57D2">
            <w:pPr>
              <w:snapToGrid w:val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pl-PL"/>
              </w:rPr>
              <w:drawing>
                <wp:inline distT="0" distB="0" distL="0" distR="0">
                  <wp:extent cx="638175" cy="571500"/>
                  <wp:effectExtent l="0" t="0" r="9525" b="0"/>
                  <wp:docPr id="1" name="Obraz 3" descr="LOGO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LOGO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3A57D2" w:rsidP="003A57D2">
            <w:pPr>
              <w:pStyle w:val="Nagwek5"/>
              <w:tabs>
                <w:tab w:val="left" w:pos="708"/>
              </w:tabs>
              <w:snapToGrid w:val="0"/>
              <w:ind w:left="0" w:firstLine="0"/>
              <w:rPr>
                <w:rFonts w:ascii="Century Gothic" w:eastAsiaTheme="minorEastAsia" w:hAnsi="Century Gothic" w:cstheme="minorBidi"/>
                <w:sz w:val="32"/>
                <w:szCs w:val="32"/>
              </w:rPr>
            </w:pPr>
            <w:r>
              <w:rPr>
                <w:rFonts w:ascii="Century Gothic" w:eastAsiaTheme="minorEastAsia" w:hAnsi="Century Gothic" w:cstheme="minorBidi"/>
                <w:sz w:val="32"/>
                <w:szCs w:val="32"/>
              </w:rPr>
              <w:t>JEDNOSTKA REALIZUJE PROGRAMY EDUKACJI PACJENTÓW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B21842">
            <w:pPr>
              <w:pStyle w:val="iso1"/>
              <w:spacing w:before="40"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 w:rsidRPr="00B21842">
              <w:pict>
                <v:rect id="_x0000_s1026" style="position:absolute;left:0;text-align:left;margin-left:18.5pt;margin-top:-62.1pt;width:107.9pt;height:33.65pt;z-index:251658240;mso-position-horizontal-relative:text;mso-position-vertical-relative:text" stroked="f">
                  <v:textbox style="mso-next-textbox:#_x0000_s1026">
                    <w:txbxContent>
                      <w:p w:rsidR="003A57D2" w:rsidRDefault="003A57D2" w:rsidP="003A57D2">
                        <w:pPr>
                          <w:jc w:val="right"/>
                          <w:rPr>
                            <w:rFonts w:ascii="Century Gothic" w:hAnsi="Century Gothic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 w:rsidR="003A57D2"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9001</w:t>
            </w:r>
          </w:p>
          <w:p w:rsidR="003A57D2" w:rsidRDefault="003A57D2">
            <w:pPr>
              <w:pStyle w:val="iso1"/>
              <w:spacing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14001</w:t>
            </w:r>
          </w:p>
          <w:p w:rsidR="003A57D2" w:rsidRDefault="003A57D2">
            <w:pPr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ISO/IEC 27001</w:t>
            </w:r>
          </w:p>
          <w:p w:rsidR="003A57D2" w:rsidRDefault="003A57D2">
            <w:pPr>
              <w:snapToGrid w:val="0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45001</w:t>
            </w:r>
          </w:p>
          <w:p w:rsidR="003A57D2" w:rsidRDefault="003A57D2">
            <w:pPr>
              <w:snapToGrid w:val="0"/>
              <w:spacing w:after="40"/>
              <w:jc w:val="center"/>
              <w:rPr>
                <w:rFonts w:ascii="Century Gothic" w:hAnsi="Century Gothic"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22000</w:t>
            </w:r>
          </w:p>
        </w:tc>
      </w:tr>
      <w:tr w:rsidR="003A57D2" w:rsidTr="003A57D2">
        <w:trPr>
          <w:trHeight w:val="408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3A57D2">
            <w:pPr>
              <w:snapToGrid w:val="0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Proces: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3A57D2">
            <w:pPr>
              <w:pStyle w:val="Nagwek1"/>
              <w:tabs>
                <w:tab w:val="clear" w:pos="432"/>
                <w:tab w:val="left" w:pos="708"/>
              </w:tabs>
              <w:snapToGrid w:val="0"/>
              <w:ind w:left="0" w:firstLine="0"/>
              <w:rPr>
                <w:rFonts w:ascii="Century Gothic" w:eastAsiaTheme="minorEastAsia" w:hAnsi="Century Gothic"/>
                <w:b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PORADNIA LEKARZA RODZINNEGO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3A57D2">
            <w:pPr>
              <w:snapToGrid w:val="0"/>
              <w:jc w:val="center"/>
              <w:rPr>
                <w:rStyle w:val="Numerstrony"/>
                <w:rFonts w:ascii="Century Gothic" w:hAnsi="Century Gothic"/>
                <w:smallCaps/>
              </w:rPr>
            </w:pP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Strona </w:t>
            </w:r>
            <w:r w:rsidR="00B21842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begin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instrText xml:space="preserve"> PAGE </w:instrText>
            </w:r>
            <w:r w:rsidR="00B21842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separate"/>
            </w:r>
            <w:r>
              <w:rPr>
                <w:rStyle w:val="Numerstrony"/>
                <w:rFonts w:ascii="Century Gothic" w:hAnsi="Century Gothic"/>
                <w:smallCaps/>
                <w:noProof/>
                <w:sz w:val="20"/>
                <w:szCs w:val="20"/>
              </w:rPr>
              <w:t>1</w:t>
            </w:r>
            <w:r w:rsidR="00B21842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end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 z 3</w:t>
            </w:r>
          </w:p>
        </w:tc>
      </w:tr>
      <w:tr w:rsidR="003A57D2" w:rsidTr="003A57D2">
        <w:trPr>
          <w:trHeight w:val="41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3A57D2">
            <w:pPr>
              <w:snapToGrid w:val="0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 19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3A57D2" w:rsidP="003A57D2">
            <w:pPr>
              <w:pStyle w:val="Nagwek1"/>
              <w:tabs>
                <w:tab w:val="clear" w:pos="432"/>
                <w:tab w:val="left" w:pos="708"/>
              </w:tabs>
              <w:snapToGrid w:val="0"/>
              <w:rPr>
                <w:rFonts w:ascii="Century Gothic" w:eastAsiaTheme="minorEastAsia" w:hAnsi="Century Gothic"/>
                <w:bCs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KO 5.2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3A57D2" w:rsidRDefault="003A57D2">
            <w:pPr>
              <w:snapToGrid w:val="0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>
              <w:rPr>
                <w:rFonts w:ascii="Century Gothic" w:hAnsi="Century Gothic"/>
                <w:smallCaps/>
                <w:sz w:val="20"/>
                <w:szCs w:val="20"/>
              </w:rPr>
              <w:t>Wydanie 1</w:t>
            </w:r>
          </w:p>
        </w:tc>
      </w:tr>
    </w:tbl>
    <w:p w:rsidR="005E5AF0" w:rsidRPr="002E10DD" w:rsidRDefault="003A57D2" w:rsidP="003A57D2">
      <w:pPr>
        <w:pStyle w:val="NormalnyWeb"/>
        <w:jc w:val="center"/>
        <w:rPr>
          <w:rFonts w:ascii="Century Gothic" w:hAnsi="Century Gothic"/>
          <w:b/>
          <w:sz w:val="22"/>
          <w:szCs w:val="22"/>
        </w:rPr>
      </w:pPr>
      <w:r w:rsidRPr="002E10DD">
        <w:rPr>
          <w:rFonts w:ascii="Century Gothic" w:hAnsi="Century Gothic"/>
          <w:b/>
          <w:sz w:val="22"/>
          <w:szCs w:val="22"/>
        </w:rPr>
        <w:t xml:space="preserve">SZKOLENIE DIETETYCZNE </w:t>
      </w:r>
      <w:r w:rsidRPr="002E10DD">
        <w:rPr>
          <w:rFonts w:ascii="Century Gothic" w:hAnsi="Century Gothic"/>
          <w:b/>
          <w:sz w:val="22"/>
          <w:szCs w:val="22"/>
          <w:u w:val="single"/>
        </w:rPr>
        <w:t>Z ZAKRESU CUKRZYCY</w:t>
      </w:r>
      <w:r w:rsidRPr="002E10DD">
        <w:rPr>
          <w:rFonts w:ascii="Century Gothic" w:hAnsi="Century Gothic"/>
          <w:b/>
          <w:sz w:val="22"/>
          <w:szCs w:val="22"/>
        </w:rPr>
        <w:t xml:space="preserve"> OBEJMUJE:</w:t>
      </w:r>
    </w:p>
    <w:p w:rsidR="005E5AF0" w:rsidRPr="003A57D2" w:rsidRDefault="005902AB" w:rsidP="005902AB">
      <w:pPr>
        <w:pStyle w:val="NormalnyWeb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1. </w:t>
      </w:r>
      <w:r w:rsidR="005E5AF0" w:rsidRPr="003A57D2">
        <w:rPr>
          <w:rFonts w:ascii="Century Gothic" w:hAnsi="Century Gothic"/>
          <w:b/>
          <w:bCs/>
          <w:sz w:val="20"/>
          <w:szCs w:val="20"/>
        </w:rPr>
        <w:t>Wymienniki węglowodanowe (WW) – nauka obliczania i praktycznego stosowania (jeśli dotyczy)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3A57D2">
        <w:rPr>
          <w:rFonts w:ascii="Century Gothic" w:hAnsi="Century Gothic"/>
          <w:sz w:val="20"/>
          <w:szCs w:val="20"/>
          <w:lang w:eastAsia="pl-PL"/>
        </w:rPr>
        <w:br/>
        <w:t>Pacjent rozumie pojęcie wymiennika węglowodanowego i potrafi samodzielnie przeliczać ilość węglowodanów w posiłkach, co ułatwia kontrolę glikemii oraz dostosowanie dawek insuliny.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5E5AF0" w:rsidRPr="003A57D2" w:rsidRDefault="005E5AF0" w:rsidP="005E5AF0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Definicja WW (1 WW = 10 g węglowodanów przyswajalnych).</w:t>
      </w:r>
    </w:p>
    <w:p w:rsidR="005E5AF0" w:rsidRPr="003A57D2" w:rsidRDefault="005E5AF0" w:rsidP="005E5AF0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Nauka przeliczania produktów spożywczych na WW (z wykorzystaniem tabel i aplikacji).</w:t>
      </w:r>
    </w:p>
    <w:p w:rsidR="005E5AF0" w:rsidRPr="003A57D2" w:rsidRDefault="005E5AF0" w:rsidP="005E5AF0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Przykładowe porcje produktów zawierających 1 WW.</w:t>
      </w:r>
    </w:p>
    <w:p w:rsidR="005E5AF0" w:rsidRPr="003A57D2" w:rsidRDefault="005E5AF0" w:rsidP="005E5AF0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Planowanie posiłków o określonej liczbie WW.</w:t>
      </w:r>
    </w:p>
    <w:p w:rsidR="005E5AF0" w:rsidRPr="003A57D2" w:rsidRDefault="005E5AF0" w:rsidP="005E5AF0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Znaczenie WW w insulinoterapii.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2. Indeks glikemiczny (IG) i ładunek glikemiczny (ŁG) – świadome wybory produktów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3A57D2">
        <w:rPr>
          <w:rFonts w:ascii="Century Gothic" w:hAnsi="Century Gothic"/>
          <w:sz w:val="20"/>
          <w:szCs w:val="20"/>
          <w:lang w:eastAsia="pl-PL"/>
        </w:rPr>
        <w:br/>
        <w:t>Pacjent potrafi rozróżnić produkty o różnym IG i wie, jak komponować posiłki, by unikać gwałtownych skoków glikemii.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5E5AF0" w:rsidRPr="003A57D2" w:rsidRDefault="005E5AF0" w:rsidP="005E5AF0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 xml:space="preserve">Wyjaśnienie pojęć IG i ŁG oraz ich wpływu na </w:t>
      </w:r>
      <w:proofErr w:type="spellStart"/>
      <w:r w:rsidRPr="003A57D2">
        <w:rPr>
          <w:rFonts w:ascii="Century Gothic" w:hAnsi="Century Gothic"/>
          <w:sz w:val="20"/>
          <w:szCs w:val="20"/>
          <w:lang w:eastAsia="pl-PL"/>
        </w:rPr>
        <w:t>glikemię</w:t>
      </w:r>
      <w:proofErr w:type="spellEnd"/>
      <w:r w:rsidRPr="003A57D2">
        <w:rPr>
          <w:rFonts w:ascii="Century Gothic" w:hAnsi="Century Gothic"/>
          <w:sz w:val="20"/>
          <w:szCs w:val="20"/>
          <w:lang w:eastAsia="pl-PL"/>
        </w:rPr>
        <w:t xml:space="preserve"> </w:t>
      </w:r>
      <w:proofErr w:type="spellStart"/>
      <w:r w:rsidRPr="003A57D2">
        <w:rPr>
          <w:rFonts w:ascii="Century Gothic" w:hAnsi="Century Gothic"/>
          <w:sz w:val="20"/>
          <w:szCs w:val="20"/>
          <w:lang w:eastAsia="pl-PL"/>
        </w:rPr>
        <w:t>poposiłkową</w:t>
      </w:r>
      <w:proofErr w:type="spellEnd"/>
      <w:r w:rsidRPr="003A57D2">
        <w:rPr>
          <w:rFonts w:ascii="Century Gothic" w:hAnsi="Century Gothic"/>
          <w:sz w:val="20"/>
          <w:szCs w:val="20"/>
          <w:lang w:eastAsia="pl-PL"/>
        </w:rPr>
        <w:t>.</w:t>
      </w:r>
    </w:p>
    <w:p w:rsidR="005E5AF0" w:rsidRPr="003A57D2" w:rsidRDefault="005E5AF0" w:rsidP="005E5AF0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Przykłady produktów o niskim, średnim i wysokim IG.</w:t>
      </w:r>
    </w:p>
    <w:p w:rsidR="005E5AF0" w:rsidRPr="003A57D2" w:rsidRDefault="005E5AF0" w:rsidP="005E5AF0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Czynniki wpływające na IG (np. obróbka termiczna, forma produktu, zawartość błonnika).</w:t>
      </w:r>
    </w:p>
    <w:p w:rsidR="005E5AF0" w:rsidRPr="003A57D2" w:rsidRDefault="005E5AF0" w:rsidP="005E5AF0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Jak łączyć produkty, aby obniżyć IG całego posiłku.</w:t>
      </w:r>
    </w:p>
    <w:p w:rsidR="005E5AF0" w:rsidRPr="003A57D2" w:rsidRDefault="005E5AF0" w:rsidP="005E5AF0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 xml:space="preserve">Znaczenie ŁG jako uzupełnienia IG – wpływ porcji na odpowiedź </w:t>
      </w:r>
      <w:proofErr w:type="spellStart"/>
      <w:r w:rsidRPr="003A57D2">
        <w:rPr>
          <w:rFonts w:ascii="Century Gothic" w:hAnsi="Century Gothic"/>
          <w:sz w:val="20"/>
          <w:szCs w:val="20"/>
          <w:lang w:eastAsia="pl-PL"/>
        </w:rPr>
        <w:t>glikemiczną</w:t>
      </w:r>
      <w:proofErr w:type="spellEnd"/>
      <w:r w:rsidRPr="003A57D2">
        <w:rPr>
          <w:rFonts w:ascii="Century Gothic" w:hAnsi="Century Gothic"/>
          <w:sz w:val="20"/>
          <w:szCs w:val="20"/>
          <w:lang w:eastAsia="pl-PL"/>
        </w:rPr>
        <w:t>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3. Rozkład i częstotliwość posiłków – rytm żywienia w cukrzycy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3A57D2">
        <w:rPr>
          <w:rFonts w:ascii="Century Gothic" w:hAnsi="Century Gothic"/>
          <w:sz w:val="20"/>
          <w:szCs w:val="20"/>
          <w:lang w:eastAsia="pl-PL"/>
        </w:rPr>
        <w:br/>
        <w:t>Pacjent rozumie, jak ważna jest regularność posiłków w utrzymaniu stabilnej glikemii.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5E5AF0" w:rsidRPr="003A57D2" w:rsidRDefault="005E5AF0" w:rsidP="005E5AF0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Rekomendowana liczba posiłków dziennie (najczęściej 4–6, w zależności od leczenia).</w:t>
      </w:r>
    </w:p>
    <w:p w:rsidR="005E5AF0" w:rsidRPr="003A57D2" w:rsidRDefault="005E5AF0" w:rsidP="005E5AF0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Przerwy między posiłkami – zalecenia (3–4 godziny).</w:t>
      </w:r>
    </w:p>
    <w:p w:rsidR="005E5AF0" w:rsidRPr="003A57D2" w:rsidRDefault="005E5AF0" w:rsidP="005E5AF0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Znaczenie śniadania w kontroli porannej glikemii.</w:t>
      </w:r>
    </w:p>
    <w:p w:rsidR="005E5AF0" w:rsidRPr="003A57D2" w:rsidRDefault="005E5AF0" w:rsidP="005E5AF0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Wpływ pomijania lub opóźniania posiłków na poziom cukru we krwi.</w:t>
      </w:r>
    </w:p>
    <w:p w:rsidR="005E5AF0" w:rsidRPr="003A57D2" w:rsidRDefault="005E5AF0" w:rsidP="005E5AF0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Dostosowanie rozkładu posiłków do aktywności fizycznej i leczenia insuliną.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lastRenderedPageBreak/>
        <w:t xml:space="preserve">4. Zasady zdrowego żywienia w cukrzycy 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3A57D2">
        <w:rPr>
          <w:rFonts w:ascii="Century Gothic" w:hAnsi="Century Gothic"/>
          <w:sz w:val="20"/>
          <w:szCs w:val="20"/>
          <w:lang w:eastAsia="pl-PL"/>
        </w:rPr>
        <w:br/>
        <w:t>Pacjent zna zasady zdrowego, zbilansowanego odżywiania i potrafi stosować je na co dzień.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5E5AF0" w:rsidRPr="003A57D2" w:rsidRDefault="005E5AF0" w:rsidP="005E5AF0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Wzorzec diety śródziemnomorskiej i dieta DASH jako model żywienia dla osób z cukrzycą.</w:t>
      </w:r>
    </w:p>
    <w:p w:rsidR="005E5AF0" w:rsidRPr="003A57D2" w:rsidRDefault="005E5AF0" w:rsidP="005E5AF0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Talerz zdrowego diabetyka – proporcje warzyw, białka i węglowodanów.</w:t>
      </w:r>
    </w:p>
    <w:p w:rsidR="005E5AF0" w:rsidRPr="003A57D2" w:rsidRDefault="005E5AF0" w:rsidP="005E5AF0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Ograniczenie cukrów prostych, tłuszczów trans, tłuszczów nasyconych i soli.</w:t>
      </w:r>
    </w:p>
    <w:p w:rsidR="005E5AF0" w:rsidRPr="003A57D2" w:rsidRDefault="005E5AF0" w:rsidP="005E5AF0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Wzrost spożycia błonnika (pełnoziarniste produkty, warzywa, rośliny strączkowe).</w:t>
      </w:r>
    </w:p>
    <w:p w:rsidR="005E5AF0" w:rsidRPr="003A57D2" w:rsidRDefault="005E5AF0" w:rsidP="005E5AF0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Znaczenie odpowiedniego nawodnienia.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 xml:space="preserve">5. Czytanie etykiet i wybór produktów spożywczych 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3A57D2">
        <w:rPr>
          <w:rFonts w:ascii="Century Gothic" w:hAnsi="Century Gothic"/>
          <w:sz w:val="20"/>
          <w:szCs w:val="20"/>
          <w:lang w:eastAsia="pl-PL"/>
        </w:rPr>
        <w:br/>
        <w:t>Pacjent potrafi świadomie wybierać produkty w sklepie, analizując skład i wartości odżywcze.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5E5AF0" w:rsidRPr="003A57D2" w:rsidRDefault="005E5AF0" w:rsidP="005E5AF0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Nauka czytania etykiet: interpretacja ilości węglowodanów, cukrów, błonnika, tłuszczów.</w:t>
      </w:r>
    </w:p>
    <w:p w:rsidR="005E5AF0" w:rsidRPr="003A57D2" w:rsidRDefault="005E5AF0" w:rsidP="005E5AF0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 xml:space="preserve">Porównywanie produktów – np. jogurty naturalne </w:t>
      </w:r>
      <w:proofErr w:type="spellStart"/>
      <w:r w:rsidRPr="003A57D2">
        <w:rPr>
          <w:rFonts w:ascii="Century Gothic" w:hAnsi="Century Gothic"/>
          <w:sz w:val="20"/>
          <w:szCs w:val="20"/>
          <w:lang w:eastAsia="pl-PL"/>
        </w:rPr>
        <w:t>vs</w:t>
      </w:r>
      <w:proofErr w:type="spellEnd"/>
      <w:r w:rsidRPr="003A57D2">
        <w:rPr>
          <w:rFonts w:ascii="Century Gothic" w:hAnsi="Century Gothic"/>
          <w:sz w:val="20"/>
          <w:szCs w:val="20"/>
          <w:lang w:eastAsia="pl-PL"/>
        </w:rPr>
        <w:t xml:space="preserve"> owocowe, pieczywo razowe </w:t>
      </w:r>
      <w:proofErr w:type="spellStart"/>
      <w:r w:rsidRPr="003A57D2">
        <w:rPr>
          <w:rFonts w:ascii="Century Gothic" w:hAnsi="Century Gothic"/>
          <w:sz w:val="20"/>
          <w:szCs w:val="20"/>
          <w:lang w:eastAsia="pl-PL"/>
        </w:rPr>
        <w:t>vs</w:t>
      </w:r>
      <w:proofErr w:type="spellEnd"/>
      <w:r w:rsidRPr="003A57D2">
        <w:rPr>
          <w:rFonts w:ascii="Century Gothic" w:hAnsi="Century Gothic"/>
          <w:sz w:val="20"/>
          <w:szCs w:val="20"/>
          <w:lang w:eastAsia="pl-PL"/>
        </w:rPr>
        <w:t xml:space="preserve"> białe.</w:t>
      </w:r>
    </w:p>
    <w:p w:rsidR="005E5AF0" w:rsidRPr="003A57D2" w:rsidRDefault="005E5AF0" w:rsidP="005E5AF0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Wybór produktów z mniejszym IG i mniejszą zawartością cukru.</w:t>
      </w:r>
    </w:p>
    <w:p w:rsidR="005E5AF0" w:rsidRPr="003A57D2" w:rsidRDefault="005E5AF0" w:rsidP="005E5AF0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 xml:space="preserve">Unikanie produktów z ukrytym cukrem (syrop </w:t>
      </w:r>
      <w:proofErr w:type="spellStart"/>
      <w:r w:rsidRPr="003A57D2">
        <w:rPr>
          <w:rFonts w:ascii="Century Gothic" w:hAnsi="Century Gothic"/>
          <w:sz w:val="20"/>
          <w:szCs w:val="20"/>
          <w:lang w:eastAsia="pl-PL"/>
        </w:rPr>
        <w:t>glukozowo-fruktozowy</w:t>
      </w:r>
      <w:proofErr w:type="spellEnd"/>
      <w:r w:rsidRPr="003A57D2">
        <w:rPr>
          <w:rFonts w:ascii="Century Gothic" w:hAnsi="Century Gothic"/>
          <w:sz w:val="20"/>
          <w:szCs w:val="20"/>
          <w:lang w:eastAsia="pl-PL"/>
        </w:rPr>
        <w:t xml:space="preserve">, </w:t>
      </w:r>
      <w:proofErr w:type="spellStart"/>
      <w:r w:rsidRPr="003A57D2">
        <w:rPr>
          <w:rFonts w:ascii="Century Gothic" w:hAnsi="Century Gothic"/>
          <w:sz w:val="20"/>
          <w:szCs w:val="20"/>
          <w:lang w:eastAsia="pl-PL"/>
        </w:rPr>
        <w:t>maltodekstryna</w:t>
      </w:r>
      <w:proofErr w:type="spellEnd"/>
      <w:r w:rsidRPr="003A57D2">
        <w:rPr>
          <w:rFonts w:ascii="Century Gothic" w:hAnsi="Century Gothic"/>
          <w:sz w:val="20"/>
          <w:szCs w:val="20"/>
          <w:lang w:eastAsia="pl-PL"/>
        </w:rPr>
        <w:t xml:space="preserve"> itd.).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6. Postępowanie w sytuacjach szczególnych – hipoglikemia, wysiłek, choroba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3A57D2">
        <w:rPr>
          <w:rFonts w:ascii="Century Gothic" w:hAnsi="Century Gothic"/>
          <w:sz w:val="20"/>
          <w:szCs w:val="20"/>
          <w:lang w:eastAsia="pl-PL"/>
        </w:rPr>
        <w:br/>
        <w:t>Pacjent potrafi dostosować dietę do zmieniających się warunków fizjologicznych lub sytuacyjnych.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5E5AF0" w:rsidRPr="003A57D2" w:rsidRDefault="005E5AF0" w:rsidP="005E5AF0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Objawy i postępowanie w hipoglikemii – szybkie źródła cukru.</w:t>
      </w:r>
    </w:p>
    <w:p w:rsidR="005E5AF0" w:rsidRPr="003A57D2" w:rsidRDefault="005E5AF0" w:rsidP="005E5AF0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Żywienie w czasie aktywności fizycznej – dodatkowe WW przed/w trakcie/po wysiłku.</w:t>
      </w:r>
    </w:p>
    <w:p w:rsidR="005E5AF0" w:rsidRPr="003A57D2" w:rsidRDefault="005E5AF0" w:rsidP="005E5AF0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Zmiana apetytu, przyjmowania posiłków lub płynów w czasie infekcji lub choroby.</w:t>
      </w:r>
    </w:p>
    <w:p w:rsidR="005E5AF0" w:rsidRPr="003A57D2" w:rsidRDefault="005E5AF0" w:rsidP="005E5AF0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Monitorowanie glikemii w sytuacjach ryzykownych (podróże, stres, gorączka).</w:t>
      </w:r>
    </w:p>
    <w:p w:rsidR="005E5AF0" w:rsidRPr="003A57D2" w:rsidRDefault="005E5AF0" w:rsidP="005E5AF0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Plan awaryjny w przypadku nudności, wymiotów, braku apetytu.</w:t>
      </w:r>
    </w:p>
    <w:p w:rsidR="005E5AF0" w:rsidRPr="003A57D2" w:rsidRDefault="005E5AF0" w:rsidP="005E5AF0">
      <w:pPr>
        <w:suppressAutoHyphens w:val="0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7. Indywidualizacja zaleceń dietetycznych – dopasowanie do stylu życia i leczenia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3A57D2">
        <w:rPr>
          <w:rFonts w:ascii="Century Gothic" w:hAnsi="Century Gothic"/>
          <w:sz w:val="20"/>
          <w:szCs w:val="20"/>
          <w:lang w:eastAsia="pl-PL"/>
        </w:rPr>
        <w:br/>
        <w:t>Pacjent uczy się, jak wdrożyć zasady zdrowego żywienia w praktyce – zgodnie z trybem życia, preferencjami i leczeniem.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5E5AF0" w:rsidRPr="003A57D2" w:rsidRDefault="005E5AF0" w:rsidP="005E5AF0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Analiza dzienniczka żywieniowego.</w:t>
      </w:r>
    </w:p>
    <w:p w:rsidR="005E5AF0" w:rsidRPr="003A57D2" w:rsidRDefault="005E5AF0" w:rsidP="005E5AF0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Dostosowanie kaloryczności i makroskładników do wieku, płci, masy ciała i rodzaju cukrzycy.</w:t>
      </w:r>
    </w:p>
    <w:p w:rsidR="005E5AF0" w:rsidRPr="003A57D2" w:rsidRDefault="005E5AF0" w:rsidP="005E5AF0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lastRenderedPageBreak/>
        <w:t>Uwzględnienie preferencji kulinarnych, pracy zmianowej, pór aktywności fizycznej.</w:t>
      </w:r>
    </w:p>
    <w:p w:rsidR="005E5AF0" w:rsidRPr="003A57D2" w:rsidRDefault="005E5AF0" w:rsidP="005E5AF0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Współpraca z zespołem terapeutycznym (lekarz, pielęgniarka, edukator, dietetyk).</w:t>
      </w:r>
    </w:p>
    <w:p w:rsidR="005E5AF0" w:rsidRPr="003A57D2" w:rsidRDefault="005E5AF0" w:rsidP="005E5AF0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Znaczenie edukacji ciągłej i samokontroli.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8. Znaczenie aktywności fizycznej w cukrzycy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3A57D2">
        <w:rPr>
          <w:rFonts w:ascii="Century Gothic" w:hAnsi="Century Gothic"/>
          <w:sz w:val="20"/>
          <w:szCs w:val="20"/>
          <w:lang w:eastAsia="pl-PL"/>
        </w:rPr>
        <w:br/>
        <w:t>Pacjent rozumie rolę ruchu w poprawie wrażliwości insulinowej i ogólnym leczeniu cukrzycy.</w:t>
      </w:r>
    </w:p>
    <w:p w:rsidR="005E5AF0" w:rsidRPr="003A57D2" w:rsidRDefault="005E5AF0" w:rsidP="005E5AF0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5E5AF0" w:rsidRPr="003A57D2" w:rsidRDefault="005E5AF0" w:rsidP="005E5AF0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Rodzaje aktywności fizycznej bezpieczne dla osób z cukrzycą.</w:t>
      </w:r>
    </w:p>
    <w:p w:rsidR="005E5AF0" w:rsidRPr="003A57D2" w:rsidRDefault="005E5AF0" w:rsidP="005E5AF0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Częstotliwość i intensywność ćwiczeń – np. 150 min/tydzień umiarkowanej aktywności.</w:t>
      </w:r>
    </w:p>
    <w:p w:rsidR="005E5AF0" w:rsidRPr="003A57D2" w:rsidRDefault="005E5AF0" w:rsidP="005E5AF0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Wpływ aktywności na dawki insuliny i spożycie WW.</w:t>
      </w:r>
    </w:p>
    <w:p w:rsidR="005E5AF0" w:rsidRPr="003A57D2" w:rsidRDefault="005E5AF0" w:rsidP="005E5AF0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3A57D2">
        <w:rPr>
          <w:rFonts w:ascii="Century Gothic" w:hAnsi="Century Gothic"/>
          <w:sz w:val="20"/>
          <w:szCs w:val="20"/>
          <w:lang w:eastAsia="pl-PL"/>
        </w:rPr>
        <w:t>Kontrola glikemii przed i po wysiłku fizycznym.</w:t>
      </w:r>
    </w:p>
    <w:p w:rsidR="008F3399" w:rsidRPr="003A57D2" w:rsidRDefault="008F3399">
      <w:pPr>
        <w:rPr>
          <w:rFonts w:ascii="Century Gothic" w:hAnsi="Century Gothic"/>
          <w:sz w:val="20"/>
          <w:szCs w:val="20"/>
        </w:rPr>
      </w:pPr>
    </w:p>
    <w:p w:rsidR="00987C3D" w:rsidRPr="003A57D2" w:rsidRDefault="00987C3D">
      <w:pPr>
        <w:rPr>
          <w:rFonts w:ascii="Century Gothic" w:hAnsi="Century Gothic"/>
          <w:sz w:val="20"/>
          <w:szCs w:val="20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86"/>
        <w:gridCol w:w="2102"/>
        <w:gridCol w:w="2816"/>
        <w:gridCol w:w="2958"/>
      </w:tblGrid>
      <w:tr w:rsidR="00987C3D" w:rsidRPr="003A57D2" w:rsidTr="00987C3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  <w:t>Obszar chorobowy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  <w:t>Temat szkolenia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  <w:t>Cel edukacyjny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  <w:t>Zakres treści</w:t>
            </w:r>
          </w:p>
        </w:tc>
      </w:tr>
      <w:tr w:rsidR="00987C3D" w:rsidRPr="003A57D2" w:rsidTr="00987C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b/>
                <w:bCs/>
                <w:sz w:val="20"/>
                <w:szCs w:val="20"/>
                <w:lang w:eastAsia="pl-PL"/>
              </w:rPr>
              <w:t>Cukrzyca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Wymienniki węglowodanowe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Pacjent potrafi przeliczać ilość węglowodanów w posiłkach i wykorzystywać WW w kontroli glikemii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Definicja WW, przeliczanie produktów, planowanie posiłków, znaczenie WW w insulinoterapii</w:t>
            </w:r>
          </w:p>
        </w:tc>
      </w:tr>
      <w:tr w:rsidR="00987C3D" w:rsidRPr="003A57D2" w:rsidTr="00987C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Indeks glikemiczny i ładunek glikemiczny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 xml:space="preserve">Pacjent rozumie wpływ produktów na </w:t>
            </w:r>
            <w:proofErr w:type="spellStart"/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glikemię</w:t>
            </w:r>
            <w:proofErr w:type="spellEnd"/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poposiłkową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Produkty o różnym IG, czynniki wpływające na IG, komponowanie posiłków</w:t>
            </w:r>
          </w:p>
        </w:tc>
      </w:tr>
      <w:tr w:rsidR="00987C3D" w:rsidRPr="003A57D2" w:rsidTr="00987C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Rozkład posiłków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Pacjent rozumie znaczenie regularności posiłków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Liczba posiłków, odstępy między nimi, wpływ pomijania posiłków</w:t>
            </w:r>
          </w:p>
        </w:tc>
      </w:tr>
      <w:tr w:rsidR="00987C3D" w:rsidRPr="003A57D2" w:rsidTr="00987C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Zasady zdrowego żywienia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Pacjent potrafi stosować zasady diety sprzyjającej kontroli glikemii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Dieta śródziemnomorska, talerz zdrowego żywienia, błonnik</w:t>
            </w:r>
          </w:p>
        </w:tc>
      </w:tr>
      <w:tr w:rsidR="00987C3D" w:rsidRPr="003A57D2" w:rsidTr="00987C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Czytanie etykiet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Pacjent potrafi wybierać produkty korzystne dla zdrowia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Analiza składu produktów, identyfikacja cukrów dodanych</w:t>
            </w:r>
          </w:p>
        </w:tc>
      </w:tr>
      <w:tr w:rsidR="00987C3D" w:rsidRPr="003A57D2" w:rsidTr="00987C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Sytuacje szczególne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Pacjent potrafi reagować w hipoglikemii i podczas wysiłku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Objawy hipoglikemii, szybkie źródła cukru, żywienie podczas wysiłku</w:t>
            </w:r>
          </w:p>
        </w:tc>
      </w:tr>
      <w:tr w:rsidR="00987C3D" w:rsidRPr="003A57D2" w:rsidTr="00987C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Indywidualizacja diety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Pacjent potrafi dostosować dietę do stylu życia i leczenia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Analiza dzienniczka żywieniowego, dopasowanie kaloryczności</w:t>
            </w:r>
          </w:p>
        </w:tc>
      </w:tr>
      <w:tr w:rsidR="00987C3D" w:rsidRPr="003A57D2" w:rsidTr="00987C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Aktywność fizyczna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Pacjent rozumie rolę aktywności w leczeniu cukrzycy</w:t>
            </w:r>
          </w:p>
        </w:tc>
        <w:tc>
          <w:tcPr>
            <w:tcW w:w="0" w:type="auto"/>
            <w:vAlign w:val="center"/>
            <w:hideMark/>
          </w:tcPr>
          <w:p w:rsidR="00987C3D" w:rsidRPr="003A57D2" w:rsidRDefault="00987C3D" w:rsidP="00987C3D">
            <w:pPr>
              <w:suppressAutoHyphens w:val="0"/>
              <w:rPr>
                <w:rFonts w:ascii="Century Gothic" w:hAnsi="Century Gothic"/>
                <w:sz w:val="20"/>
                <w:szCs w:val="20"/>
                <w:lang w:eastAsia="pl-PL"/>
              </w:rPr>
            </w:pPr>
            <w:r w:rsidRPr="003A57D2">
              <w:rPr>
                <w:rFonts w:ascii="Century Gothic" w:hAnsi="Century Gothic"/>
                <w:sz w:val="20"/>
                <w:szCs w:val="20"/>
                <w:lang w:eastAsia="pl-PL"/>
              </w:rPr>
              <w:t>Zalecenia aktywności fizycznej, kontrola glikemii</w:t>
            </w:r>
          </w:p>
        </w:tc>
      </w:tr>
    </w:tbl>
    <w:p w:rsidR="00987C3D" w:rsidRPr="003A57D2" w:rsidRDefault="00987C3D">
      <w:pPr>
        <w:rPr>
          <w:rFonts w:ascii="Century Gothic" w:hAnsi="Century Gothic"/>
          <w:sz w:val="20"/>
          <w:szCs w:val="20"/>
        </w:rPr>
      </w:pPr>
    </w:p>
    <w:sectPr w:rsidR="00987C3D" w:rsidRPr="003A57D2" w:rsidSect="008F339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57D2" w:rsidRDefault="003A57D2" w:rsidP="003A57D2">
      <w:r>
        <w:separator/>
      </w:r>
    </w:p>
  </w:endnote>
  <w:endnote w:type="continuationSeparator" w:id="0">
    <w:p w:rsidR="003A57D2" w:rsidRDefault="003A57D2" w:rsidP="003A57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08985"/>
      <w:docPartObj>
        <w:docPartGallery w:val="Page Numbers (Bottom of Page)"/>
        <w:docPartUnique/>
      </w:docPartObj>
    </w:sdtPr>
    <w:sdtContent>
      <w:p w:rsidR="003A57D2" w:rsidRDefault="00B21842">
        <w:pPr>
          <w:pStyle w:val="Stopka"/>
          <w:jc w:val="right"/>
        </w:pPr>
        <w:fldSimple w:instr=" PAGE   \* MERGEFORMAT ">
          <w:r w:rsidR="002E10DD">
            <w:rPr>
              <w:noProof/>
            </w:rPr>
            <w:t>3</w:t>
          </w:r>
        </w:fldSimple>
      </w:p>
    </w:sdtContent>
  </w:sdt>
  <w:p w:rsidR="003A57D2" w:rsidRDefault="003A57D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7D2" w:rsidRDefault="003A57D2" w:rsidP="003A57D2">
      <w:r>
        <w:separator/>
      </w:r>
    </w:p>
  </w:footnote>
  <w:footnote w:type="continuationSeparator" w:id="0">
    <w:p w:rsidR="003A57D2" w:rsidRDefault="003A57D2" w:rsidP="003A57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87245"/>
    <w:multiLevelType w:val="multilevel"/>
    <w:tmpl w:val="09685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D09EB"/>
    <w:multiLevelType w:val="multilevel"/>
    <w:tmpl w:val="72F0B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DC2598"/>
    <w:multiLevelType w:val="multilevel"/>
    <w:tmpl w:val="FA10E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F4496E"/>
    <w:multiLevelType w:val="hybridMultilevel"/>
    <w:tmpl w:val="9A3ED346"/>
    <w:lvl w:ilvl="0" w:tplc="F45E51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E0650F"/>
    <w:multiLevelType w:val="multilevel"/>
    <w:tmpl w:val="9C54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937BC5"/>
    <w:multiLevelType w:val="hybridMultilevel"/>
    <w:tmpl w:val="56B496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255B40"/>
    <w:multiLevelType w:val="multilevel"/>
    <w:tmpl w:val="DD964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FB5446"/>
    <w:multiLevelType w:val="multilevel"/>
    <w:tmpl w:val="7CAC7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A56921"/>
    <w:multiLevelType w:val="multilevel"/>
    <w:tmpl w:val="C940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CB35AD"/>
    <w:multiLevelType w:val="multilevel"/>
    <w:tmpl w:val="DD942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8"/>
  </w:num>
  <w:num w:numId="5">
    <w:abstractNumId w:val="2"/>
  </w:num>
  <w:num w:numId="6">
    <w:abstractNumId w:val="9"/>
  </w:num>
  <w:num w:numId="7">
    <w:abstractNumId w:val="6"/>
  </w:num>
  <w:num w:numId="8">
    <w:abstractNumId w:val="0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5AF0"/>
    <w:rsid w:val="002E10DD"/>
    <w:rsid w:val="00370D71"/>
    <w:rsid w:val="003A57D2"/>
    <w:rsid w:val="005902AB"/>
    <w:rsid w:val="005E5AF0"/>
    <w:rsid w:val="008F3399"/>
    <w:rsid w:val="00987C3D"/>
    <w:rsid w:val="00B21842"/>
    <w:rsid w:val="00FC5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5A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3A57D2"/>
    <w:pPr>
      <w:keepNext/>
      <w:tabs>
        <w:tab w:val="num" w:pos="432"/>
      </w:tabs>
      <w:suppressAutoHyphens w:val="0"/>
      <w:ind w:left="432" w:hanging="432"/>
      <w:jc w:val="center"/>
      <w:outlineLvl w:val="0"/>
    </w:pPr>
    <w:rPr>
      <w:rFonts w:ascii="Arial" w:hAnsi="Arial" w:cs="Arial"/>
      <w:b/>
      <w:bCs/>
      <w:sz w:val="20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3A57D2"/>
    <w:pPr>
      <w:keepNext/>
      <w:tabs>
        <w:tab w:val="num" w:pos="1008"/>
      </w:tabs>
      <w:suppressAutoHyphens w:val="0"/>
      <w:ind w:left="1008" w:hanging="1008"/>
      <w:jc w:val="center"/>
      <w:outlineLvl w:val="4"/>
    </w:pPr>
    <w:rPr>
      <w:rFonts w:ascii="Arial Narrow" w:hAnsi="Arial Narrow"/>
      <w:b/>
      <w:bCs/>
      <w:smallCaps/>
      <w:sz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5E5AF0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Nagwek1Znak">
    <w:name w:val="Nagłówek 1 Znak"/>
    <w:basedOn w:val="Domylnaczcionkaakapitu"/>
    <w:link w:val="Nagwek1"/>
    <w:rsid w:val="003A57D2"/>
    <w:rPr>
      <w:rFonts w:ascii="Arial" w:eastAsia="Times New Roman" w:hAnsi="Arial" w:cs="Arial"/>
      <w:b/>
      <w:bCs/>
      <w:sz w:val="20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3A57D2"/>
    <w:rPr>
      <w:rFonts w:ascii="Arial Narrow" w:eastAsia="Times New Roman" w:hAnsi="Arial Narrow" w:cs="Times New Roman"/>
      <w:b/>
      <w:bCs/>
      <w:smallCaps/>
      <w:sz w:val="28"/>
      <w:szCs w:val="24"/>
      <w:lang w:eastAsia="pl-PL"/>
    </w:rPr>
  </w:style>
  <w:style w:type="paragraph" w:customStyle="1" w:styleId="iso1">
    <w:name w:val="iso1"/>
    <w:basedOn w:val="Normalny"/>
    <w:rsid w:val="003A57D2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character" w:styleId="Numerstrony">
    <w:name w:val="page number"/>
    <w:basedOn w:val="Domylnaczcionkaakapitu"/>
    <w:semiHidden/>
    <w:unhideWhenUsed/>
    <w:rsid w:val="003A57D2"/>
  </w:style>
  <w:style w:type="paragraph" w:styleId="Tekstdymka">
    <w:name w:val="Balloon Text"/>
    <w:basedOn w:val="Normalny"/>
    <w:link w:val="TekstdymkaZnak"/>
    <w:uiPriority w:val="99"/>
    <w:semiHidden/>
    <w:unhideWhenUsed/>
    <w:rsid w:val="003A57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57D2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3A57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A57D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3A57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7D2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816</Words>
  <Characters>4897</Characters>
  <Application>Microsoft Office Word</Application>
  <DocSecurity>0</DocSecurity>
  <Lines>40</Lines>
  <Paragraphs>11</Paragraphs>
  <ScaleCrop>false</ScaleCrop>
  <Company/>
  <LinksUpToDate>false</LinksUpToDate>
  <CharactersWithSpaces>5702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lcn.gablek</dc:creator>
  <cp:lastModifiedBy>lom.krzyzewska</cp:lastModifiedBy>
  <cp:revision>5</cp:revision>
  <dcterms:created xsi:type="dcterms:W3CDTF">2026-03-11T09:24:00Z</dcterms:created>
  <dcterms:modified xsi:type="dcterms:W3CDTF">2026-03-13T09:50:00Z</dcterms:modified>
</cp:coreProperties>
</file>